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Open Sans" w:cs="Open Sans" w:eastAsia="Open Sans" w:hAnsi="Open Sans"/>
          <w:b w:val="1"/>
          <w:bCs w:val="1"/>
          <w:sz w:val="26"/>
          <w:szCs w:val="26"/>
        </w:rPr>
      </w:pPr>
      <w:bookmarkStart w:colFirst="0" w:colLast="0" w:name="_wn5qgs4g2tve" w:id="0"/>
      <w:bookmarkEnd w:id="0"/>
      <w:r w:rsidDel="00000000" w:rsidR="00000000" w:rsidRPr="00000000">
        <w:rPr>
          <w:rFonts w:ascii="Open Sans" w:cs="Open Sans" w:eastAsia="Open Sans" w:hAnsi="Open Sans"/>
          <w:b w:val="1"/>
          <w:bCs w:val="1"/>
          <w:sz w:val="26"/>
          <w:szCs w:val="26"/>
          <w:rtl w:val="0"/>
        </w:rPr>
        <w:t xml:space="preserve">Anexo 1. Metodología detallada del IEDF 2026</w:t>
      </w:r>
    </w:p>
    <w:p w:rsidR="00000000" w:rsidDel="00000000" w:rsidP="00000000" w:rsidRDefault="00000000" w:rsidRPr="00000000" w14:paraId="00000002">
      <w:pPr>
        <w:pStyle w:val="Heading2"/>
        <w:rPr>
          <w:rFonts w:ascii="Open Sans" w:cs="Open Sans" w:eastAsia="Open Sans" w:hAnsi="Open Sans"/>
          <w:b w:val="1"/>
          <w:bCs w:val="1"/>
          <w:sz w:val="24"/>
          <w:szCs w:val="24"/>
        </w:rPr>
      </w:pPr>
      <w:bookmarkStart w:colFirst="0" w:colLast="0" w:name="_9ehmlp77tqv4" w:id="1"/>
      <w:bookmarkEnd w:id="1"/>
      <w:r w:rsidDel="00000000" w:rsidR="00000000" w:rsidRPr="00000000">
        <w:rPr>
          <w:rFonts w:ascii="Open Sans" w:cs="Open Sans" w:eastAsia="Open Sans" w:hAnsi="Open Sans"/>
          <w:b w:val="1"/>
          <w:bCs w:val="1"/>
          <w:sz w:val="24"/>
          <w:szCs w:val="24"/>
          <w:rtl w:val="0"/>
        </w:rPr>
        <w:t xml:space="preserve">1. Estructura general del Índice</w:t>
      </w:r>
    </w:p>
    <w:p w:rsidR="00000000" w:rsidDel="00000000" w:rsidP="00000000" w:rsidRDefault="00000000" w:rsidRPr="00000000" w14:paraId="00000003">
      <w:pPr>
        <w:rPr>
          <w:rFonts w:ascii="Open Sans" w:cs="Open Sans" w:eastAsia="Open Sans" w:hAnsi="Open Sans"/>
        </w:rPr>
      </w:pPr>
      <w:r w:rsidDel="00000000" w:rsidR="00000000" w:rsidRPr="00000000">
        <w:rPr>
          <w:rFonts w:ascii="Open Sans" w:cs="Open Sans" w:eastAsia="Open Sans" w:hAnsi="Open Sans"/>
          <w:rtl w:val="0"/>
        </w:rPr>
        <w:t xml:space="preserve">El Índice Estatal de Desempeño de Procuradurías y Fiscalías (IEDF) 2026 evalúa el desempeño de las 32 fiscalías y procuradurías estatales de México mediante ocho indicadores agrupados en tres dimensiones: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Dimensión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Indicador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Fuente principal</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Estructura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rFonts w:ascii="Open Sans" w:cs="Open Sans" w:eastAsia="Open Sans" w:hAnsi="Open Sans"/>
              </w:rPr>
            </w:pPr>
            <w:r w:rsidDel="00000000" w:rsidR="00000000" w:rsidRPr="00000000">
              <w:rPr>
                <w:rFonts w:ascii="Open Sans" w:cs="Open Sans" w:eastAsia="Open Sans" w:hAnsi="Open Sans"/>
                <w:rtl w:val="0"/>
              </w:rPr>
              <w:t xml:space="preserve">Personal sustantivo por 100 mil hab.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left"/>
              <w:rPr>
                <w:rFonts w:ascii="Open Sans" w:cs="Open Sans" w:eastAsia="Open Sans" w:hAnsi="Open Sans"/>
              </w:rPr>
            </w:pPr>
            <w:r w:rsidDel="00000000" w:rsidR="00000000" w:rsidRPr="00000000">
              <w:rPr>
                <w:rFonts w:ascii="Open Sans" w:cs="Open Sans" w:eastAsia="Open Sans" w:hAnsi="Open Sans"/>
                <w:rtl w:val="0"/>
              </w:rPr>
              <w:t xml:space="preserve">CNPJE (INEGI), CONAPO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before="0" w:line="240" w:lineRule="auto"/>
              <w:ind w:lef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jc w:val="left"/>
              <w:rPr>
                <w:rFonts w:ascii="Open Sans" w:cs="Open Sans" w:eastAsia="Open Sans" w:hAnsi="Open Sans"/>
              </w:rPr>
            </w:pPr>
            <w:r w:rsidDel="00000000" w:rsidR="00000000" w:rsidRPr="00000000">
              <w:rPr>
                <w:rFonts w:ascii="Open Sans" w:cs="Open Sans" w:eastAsia="Open Sans" w:hAnsi="Open Sans"/>
                <w:rtl w:val="0"/>
              </w:rPr>
              <w:t xml:space="preserve">Presupuesto per cápita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jc w:val="left"/>
              <w:rPr>
                <w:rFonts w:ascii="Open Sans" w:cs="Open Sans" w:eastAsia="Open Sans" w:hAnsi="Open Sans"/>
              </w:rPr>
            </w:pPr>
            <w:r w:rsidDel="00000000" w:rsidR="00000000" w:rsidRPr="00000000">
              <w:rPr>
                <w:rFonts w:ascii="Open Sans" w:cs="Open Sans" w:eastAsia="Open Sans" w:hAnsi="Open Sans"/>
                <w:rtl w:val="0"/>
              </w:rPr>
              <w:t xml:space="preserve">Cuentas públicas estatales, CONAPO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before="0" w:line="240" w:lineRule="auto"/>
              <w:ind w:lef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jc w:val="left"/>
              <w:rPr>
                <w:rFonts w:ascii="Open Sans" w:cs="Open Sans" w:eastAsia="Open Sans" w:hAnsi="Open Sans"/>
              </w:rPr>
            </w:pPr>
            <w:r w:rsidDel="00000000" w:rsidR="00000000" w:rsidRPr="00000000">
              <w:rPr>
                <w:rFonts w:ascii="Open Sans" w:cs="Open Sans" w:eastAsia="Open Sans" w:hAnsi="Open Sans"/>
                <w:rtl w:val="0"/>
              </w:rPr>
              <w:t xml:space="preserve">Transformación digital (ITDF)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left"/>
              <w:rPr>
                <w:rFonts w:ascii="Open Sans" w:cs="Open Sans" w:eastAsia="Open Sans" w:hAnsi="Open Sans"/>
              </w:rPr>
            </w:pPr>
            <w:r w:rsidDel="00000000" w:rsidR="00000000" w:rsidRPr="00000000">
              <w:rPr>
                <w:rFonts w:ascii="Open Sans" w:cs="Open Sans" w:eastAsia="Open Sans" w:hAnsi="Open Sans"/>
                <w:rtl w:val="0"/>
              </w:rPr>
              <w:t xml:space="preserve">Solicitudes de información (IC)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Operación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jc w:val="left"/>
              <w:rPr>
                <w:rFonts w:ascii="Open Sans" w:cs="Open Sans" w:eastAsia="Open Sans" w:hAnsi="Open Sans"/>
              </w:rPr>
            </w:pPr>
            <w:r w:rsidDel="00000000" w:rsidR="00000000" w:rsidRPr="00000000">
              <w:rPr>
                <w:rFonts w:ascii="Open Sans" w:cs="Open Sans" w:eastAsia="Open Sans" w:hAnsi="Open Sans"/>
                <w:rtl w:val="0"/>
              </w:rPr>
              <w:t xml:space="preserve">Tiempo de espera en el 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left"/>
              <w:rPr>
                <w:rFonts w:ascii="Open Sans" w:cs="Open Sans" w:eastAsia="Open Sans" w:hAnsi="Open Sans"/>
              </w:rPr>
            </w:pPr>
            <w:r w:rsidDel="00000000" w:rsidR="00000000" w:rsidRPr="00000000">
              <w:rPr>
                <w:rFonts w:ascii="Open Sans" w:cs="Open Sans" w:eastAsia="Open Sans" w:hAnsi="Open Sans"/>
                <w:rtl w:val="0"/>
              </w:rPr>
              <w:t xml:space="preserve">ENVIPE (INEGI)</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Resultado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left"/>
              <w:rPr>
                <w:rFonts w:ascii="Open Sans" w:cs="Open Sans" w:eastAsia="Open Sans" w:hAnsi="Open Sans"/>
              </w:rPr>
            </w:pPr>
            <w:r w:rsidDel="00000000" w:rsidR="00000000" w:rsidRPr="00000000">
              <w:rPr>
                <w:rFonts w:ascii="Open Sans" w:cs="Open Sans" w:eastAsia="Open Sans" w:hAnsi="Open Sans"/>
                <w:rtl w:val="0"/>
              </w:rPr>
              <w:t xml:space="preserve">Confianza en el 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rFonts w:ascii="Open Sans" w:cs="Open Sans" w:eastAsia="Open Sans" w:hAnsi="Open Sans"/>
              </w:rPr>
            </w:pPr>
            <w:r w:rsidDel="00000000" w:rsidR="00000000" w:rsidRPr="00000000">
              <w:rPr>
                <w:rFonts w:ascii="Open Sans" w:cs="Open Sans" w:eastAsia="Open Sans" w:hAnsi="Open Sans"/>
                <w:rtl w:val="0"/>
              </w:rPr>
              <w:t xml:space="preserve">ENVIPE (INEGI)</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before="0" w:line="240" w:lineRule="auto"/>
              <w:ind w:lef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Open Sans" w:cs="Open Sans" w:eastAsia="Open Sans" w:hAnsi="Open Sans"/>
              </w:rPr>
            </w:pPr>
            <w:r w:rsidDel="00000000" w:rsidR="00000000" w:rsidRPr="00000000">
              <w:rPr>
                <w:rFonts w:ascii="Open Sans" w:cs="Open Sans" w:eastAsia="Open Sans" w:hAnsi="Open Sans"/>
                <w:rtl w:val="0"/>
              </w:rPr>
              <w:t xml:space="preserve">Efectividad en la resolución de los casos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rFonts w:ascii="Open Sans" w:cs="Open Sans" w:eastAsia="Open Sans" w:hAnsi="Open Sans"/>
              </w:rPr>
            </w:pPr>
            <w:r w:rsidDel="00000000" w:rsidR="00000000" w:rsidRPr="00000000">
              <w:rPr>
                <w:rFonts w:ascii="Open Sans" w:cs="Open Sans" w:eastAsia="Open Sans" w:hAnsi="Open Sans"/>
                <w:rtl w:val="0"/>
              </w:rPr>
              <w:t xml:space="preserve">CNPJE (INEGI)</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before="0" w:line="240" w:lineRule="auto"/>
              <w:ind w:lef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rFonts w:ascii="Open Sans" w:cs="Open Sans" w:eastAsia="Open Sans" w:hAnsi="Open Sans"/>
              </w:rPr>
            </w:pPr>
            <w:r w:rsidDel="00000000" w:rsidR="00000000" w:rsidRPr="00000000">
              <w:rPr>
                <w:rFonts w:ascii="Open Sans" w:cs="Open Sans" w:eastAsia="Open Sans" w:hAnsi="Open Sans"/>
                <w:rtl w:val="0"/>
              </w:rPr>
              <w:t xml:space="preserve">Porcentaje de delitos denunciados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rFonts w:ascii="Open Sans" w:cs="Open Sans" w:eastAsia="Open Sans" w:hAnsi="Open Sans"/>
              </w:rPr>
            </w:pPr>
            <w:r w:rsidDel="00000000" w:rsidR="00000000" w:rsidRPr="00000000">
              <w:rPr>
                <w:rFonts w:ascii="Open Sans" w:cs="Open Sans" w:eastAsia="Open Sans" w:hAnsi="Open Sans"/>
                <w:rtl w:val="0"/>
              </w:rPr>
              <w:t xml:space="preserve">ENVIPE (INEGI)</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before="0" w:line="240" w:lineRule="auto"/>
              <w:ind w:lef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Open Sans" w:cs="Open Sans" w:eastAsia="Open Sans" w:hAnsi="Open Sans"/>
              </w:rPr>
            </w:pPr>
            <w:r w:rsidDel="00000000" w:rsidR="00000000" w:rsidRPr="00000000">
              <w:rPr>
                <w:rFonts w:ascii="Open Sans" w:cs="Open Sans" w:eastAsia="Open Sans" w:hAnsi="Open Sans"/>
                <w:rtl w:val="0"/>
              </w:rPr>
              <w:t xml:space="preserve">Impunidad acumulada en homicidio doloso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rFonts w:ascii="Open Sans" w:cs="Open Sans" w:eastAsia="Open Sans" w:hAnsi="Open Sans"/>
              </w:rPr>
            </w:pPr>
            <w:r w:rsidDel="00000000" w:rsidR="00000000" w:rsidRPr="00000000">
              <w:rPr>
                <w:rFonts w:ascii="Open Sans" w:cs="Open Sans" w:eastAsia="Open Sans" w:hAnsi="Open Sans"/>
                <w:rtl w:val="0"/>
              </w:rPr>
              <w:t xml:space="preserve">SESNSP, solicitudes de información (IC)</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b w:val="1"/>
          <w:bCs w:val="1"/>
          <w:rtl w:val="0"/>
        </w:rPr>
        <w:t xml:space="preserve">Nota sobre el indicador de operación:</w:t>
      </w:r>
      <w:r w:rsidDel="00000000" w:rsidR="00000000" w:rsidRPr="00000000">
        <w:rPr>
          <w:rFonts w:ascii="Open Sans" w:cs="Open Sans" w:eastAsia="Open Sans" w:hAnsi="Open Sans"/>
          <w:rtl w:val="0"/>
        </w:rPr>
        <w:t xml:space="preserve"> Para el cálculo del IEDF se excluye el indicador de carga de trabajo por fiscal o agente del MP, el cual se presenta de forma descriptiva en el informe, puesto que mantiene una relación directa con el indicador de personal por 100 mil habitantes.</w:t>
      </w:r>
    </w:p>
    <w:p w:rsidR="00000000" w:rsidDel="00000000" w:rsidP="00000000" w:rsidRDefault="00000000" w:rsidRPr="00000000" w14:paraId="00000022">
      <w:pPr>
        <w:pStyle w:val="Heading2"/>
        <w:rPr>
          <w:rFonts w:ascii="Open Sans" w:cs="Open Sans" w:eastAsia="Open Sans" w:hAnsi="Open Sans"/>
          <w:b w:val="1"/>
          <w:bCs w:val="1"/>
          <w:sz w:val="24"/>
          <w:szCs w:val="24"/>
        </w:rPr>
      </w:pPr>
      <w:bookmarkStart w:colFirst="0" w:colLast="0" w:name="_o80nwkezvkzg" w:id="2"/>
      <w:bookmarkEnd w:id="2"/>
      <w:r w:rsidDel="00000000" w:rsidR="00000000" w:rsidRPr="00000000">
        <w:rPr>
          <w:rFonts w:ascii="Open Sans" w:cs="Open Sans" w:eastAsia="Open Sans" w:hAnsi="Open Sans"/>
          <w:b w:val="1"/>
          <w:bCs w:val="1"/>
          <w:sz w:val="24"/>
          <w:szCs w:val="24"/>
          <w:rtl w:val="0"/>
        </w:rPr>
        <w:t xml:space="preserve">2. Fuentes de información</w:t>
      </w:r>
    </w:p>
    <w:p w:rsidR="00000000" w:rsidDel="00000000" w:rsidP="00000000" w:rsidRDefault="00000000" w:rsidRPr="00000000" w14:paraId="00000023">
      <w:pPr>
        <w:pStyle w:val="Heading3"/>
        <w:rPr>
          <w:rFonts w:ascii="Open Sans" w:cs="Open Sans" w:eastAsia="Open Sans" w:hAnsi="Open Sans"/>
          <w:sz w:val="24"/>
          <w:szCs w:val="24"/>
        </w:rPr>
      </w:pPr>
      <w:bookmarkStart w:colFirst="0" w:colLast="0" w:name="_bhj9k6ysxgge" w:id="3"/>
      <w:bookmarkEnd w:id="3"/>
      <w:r w:rsidDel="00000000" w:rsidR="00000000" w:rsidRPr="00000000">
        <w:rPr>
          <w:rFonts w:ascii="Open Sans" w:cs="Open Sans" w:eastAsia="Open Sans" w:hAnsi="Open Sans"/>
          <w:sz w:val="24"/>
          <w:szCs w:val="24"/>
          <w:rtl w:val="0"/>
        </w:rPr>
        <w:t xml:space="preserve">2.1 Censo Nacional de Procuración de Justicia Estatal (CNPJE) — INEGI</w:t>
      </w:r>
    </w:p>
    <w:p w:rsidR="00000000" w:rsidDel="00000000" w:rsidP="00000000" w:rsidRDefault="00000000" w:rsidRPr="00000000" w14:paraId="00000024">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Levantamientos utilizados: 2017 a 2025 (con información de referencia de 2016 a 2024)</w:t>
      </w:r>
    </w:p>
    <w:p w:rsidR="00000000" w:rsidDel="00000000" w:rsidP="00000000" w:rsidRDefault="00000000" w:rsidRPr="00000000" w14:paraId="00000025">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Módulos consultados: Estructura Organizacional y Recursos, Procuración de Justicia</w:t>
      </w:r>
    </w:p>
    <w:p w:rsidR="00000000" w:rsidDel="00000000" w:rsidP="00000000" w:rsidRDefault="00000000" w:rsidRPr="00000000" w14:paraId="0000002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Proporciona datos de: personal sustantivo (fiscales, policías de investigación, analistas), determinaciones de carpetas de investigación y averiguaciones previas</w:t>
      </w:r>
    </w:p>
    <w:p w:rsidR="00000000" w:rsidDel="00000000" w:rsidP="00000000" w:rsidRDefault="00000000" w:rsidRPr="00000000" w14:paraId="00000027">
      <w:pPr>
        <w:pStyle w:val="Heading3"/>
        <w:rPr>
          <w:rFonts w:ascii="Open Sans" w:cs="Open Sans" w:eastAsia="Open Sans" w:hAnsi="Open Sans"/>
          <w:sz w:val="24"/>
          <w:szCs w:val="24"/>
        </w:rPr>
      </w:pPr>
      <w:bookmarkStart w:colFirst="0" w:colLast="0" w:name="_mgiizwwzykgv" w:id="4"/>
      <w:bookmarkEnd w:id="4"/>
      <w:r w:rsidDel="00000000" w:rsidR="00000000" w:rsidRPr="00000000">
        <w:rPr>
          <w:rFonts w:ascii="Open Sans" w:cs="Open Sans" w:eastAsia="Open Sans" w:hAnsi="Open Sans"/>
          <w:sz w:val="24"/>
          <w:szCs w:val="24"/>
          <w:rtl w:val="0"/>
        </w:rPr>
        <w:t xml:space="preserve">2.2 Encuesta Nacional de Victimización y Percepción sobre Seguridad Pública (ENVIPE) — INEGI</w:t>
      </w:r>
    </w:p>
    <w:p w:rsidR="00000000" w:rsidDel="00000000" w:rsidP="00000000" w:rsidRDefault="00000000" w:rsidRPr="00000000" w14:paraId="00000028">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Ediciones utilizadas: 2016 a 2025</w:t>
      </w:r>
    </w:p>
    <w:p w:rsidR="00000000" w:rsidDel="00000000" w:rsidP="00000000" w:rsidRDefault="00000000" w:rsidRPr="00000000" w14:paraId="00000029">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Proporciona datos de: confianza en el MP, tiempo de espera para denunciar, porcentaje de delitos denunciados (cifra negra inversa)</w:t>
      </w:r>
    </w:p>
    <w:p w:rsidR="00000000" w:rsidDel="00000000" w:rsidP="00000000" w:rsidRDefault="00000000" w:rsidRPr="00000000" w14:paraId="0000002A">
      <w:pPr>
        <w:numPr>
          <w:ilvl w:val="0"/>
          <w:numId w:val="1"/>
        </w:numPr>
        <w:ind w:left="720" w:hanging="360"/>
      </w:pPr>
      <w:r w:rsidDel="00000000" w:rsidR="00000000" w:rsidRPr="00000000">
        <w:rPr>
          <w:rFonts w:ascii="Open Sans" w:cs="Open Sans" w:eastAsia="Open Sans" w:hAnsi="Open Sans"/>
          <w:b w:val="1"/>
          <w:bCs w:val="1"/>
          <w:rtl w:val="0"/>
        </w:rPr>
        <w:t xml:space="preserve">Nota:</w:t>
      </w:r>
      <w:r w:rsidDel="00000000" w:rsidR="00000000" w:rsidRPr="00000000">
        <w:rPr>
          <w:rFonts w:ascii="Open Sans" w:cs="Open Sans" w:eastAsia="Open Sans" w:hAnsi="Open Sans"/>
          <w:rtl w:val="0"/>
        </w:rPr>
        <w:t xml:space="preserve"> Para el indicador de confianza, la ENVIPE refleja los niveles del año en que se levantó la encuesta (no del año anterior). Para los demás indicadores, la ENVIPE refleja información del año previo al levantamiento.</w:t>
      </w:r>
    </w:p>
    <w:p w:rsidR="00000000" w:rsidDel="00000000" w:rsidP="00000000" w:rsidRDefault="00000000" w:rsidRPr="00000000" w14:paraId="0000002B">
      <w:pPr>
        <w:pStyle w:val="Heading3"/>
        <w:rPr>
          <w:rFonts w:ascii="Open Sans" w:cs="Open Sans" w:eastAsia="Open Sans" w:hAnsi="Open Sans"/>
          <w:sz w:val="24"/>
          <w:szCs w:val="24"/>
        </w:rPr>
      </w:pPr>
      <w:bookmarkStart w:colFirst="0" w:colLast="0" w:name="_t29gywwr5wn3" w:id="5"/>
      <w:bookmarkEnd w:id="5"/>
      <w:r w:rsidDel="00000000" w:rsidR="00000000" w:rsidRPr="00000000">
        <w:rPr>
          <w:rFonts w:ascii="Open Sans" w:cs="Open Sans" w:eastAsia="Open Sans" w:hAnsi="Open Sans"/>
          <w:sz w:val="24"/>
          <w:szCs w:val="24"/>
          <w:rtl w:val="0"/>
        </w:rPr>
        <w:t xml:space="preserve">2.3 Secretariado Ejecutivo del Sistema Nacional de Seguridad Pública (SESNSP)</w:t>
      </w:r>
    </w:p>
    <w:p w:rsidR="00000000" w:rsidDel="00000000" w:rsidP="00000000" w:rsidRDefault="00000000" w:rsidRPr="00000000" w14:paraId="0000002C">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Proporciona: incidencia delictiva estatal (delitos del fuero común), víctimas de homicidio doloso y feminicidio</w:t>
      </w:r>
    </w:p>
    <w:p w:rsidR="00000000" w:rsidDel="00000000" w:rsidP="00000000" w:rsidRDefault="00000000" w:rsidRPr="00000000" w14:paraId="0000002D">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Periodo: 2015-2025</w:t>
      </w:r>
    </w:p>
    <w:p w:rsidR="00000000" w:rsidDel="00000000" w:rsidP="00000000" w:rsidRDefault="00000000" w:rsidRPr="00000000" w14:paraId="0000002E">
      <w:pPr>
        <w:pStyle w:val="Heading3"/>
        <w:rPr>
          <w:rFonts w:ascii="Open Sans" w:cs="Open Sans" w:eastAsia="Open Sans" w:hAnsi="Open Sans"/>
          <w:sz w:val="24"/>
          <w:szCs w:val="24"/>
        </w:rPr>
      </w:pPr>
      <w:bookmarkStart w:colFirst="0" w:colLast="0" w:name="_ql2kmzx277aj" w:id="6"/>
      <w:bookmarkEnd w:id="6"/>
      <w:r w:rsidDel="00000000" w:rsidR="00000000" w:rsidRPr="00000000">
        <w:rPr>
          <w:rFonts w:ascii="Open Sans" w:cs="Open Sans" w:eastAsia="Open Sans" w:hAnsi="Open Sans"/>
          <w:sz w:val="24"/>
          <w:szCs w:val="24"/>
          <w:rtl w:val="0"/>
        </w:rPr>
        <w:t xml:space="preserve">2.4 Cuentas públicas estatales</w:t>
      </w:r>
    </w:p>
    <w:p w:rsidR="00000000" w:rsidDel="00000000" w:rsidP="00000000" w:rsidRDefault="00000000" w:rsidRPr="00000000" w14:paraId="0000002F">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Proporciona: presupuesto devengado de las fiscalías y procuradurías estatales</w:t>
      </w:r>
    </w:p>
    <w:p w:rsidR="00000000" w:rsidDel="00000000" w:rsidP="00000000" w:rsidRDefault="00000000" w:rsidRPr="00000000" w14:paraId="00000030">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Periodo: 2016-2024</w:t>
      </w:r>
    </w:p>
    <w:p w:rsidR="00000000" w:rsidDel="00000000" w:rsidP="00000000" w:rsidRDefault="00000000" w:rsidRPr="00000000" w14:paraId="00000031">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Los valores fueron deflactados a pesos constantes de 2024 utilizando el deflactor del PIB de la SHCP</w:t>
      </w:r>
    </w:p>
    <w:p w:rsidR="00000000" w:rsidDel="00000000" w:rsidP="00000000" w:rsidRDefault="00000000" w:rsidRPr="00000000" w14:paraId="00000032">
      <w:pPr>
        <w:pStyle w:val="Heading3"/>
        <w:rPr>
          <w:rFonts w:ascii="Open Sans" w:cs="Open Sans" w:eastAsia="Open Sans" w:hAnsi="Open Sans"/>
          <w:sz w:val="24"/>
          <w:szCs w:val="24"/>
        </w:rPr>
      </w:pPr>
      <w:bookmarkStart w:colFirst="0" w:colLast="0" w:name="_ahscuzunrj4d" w:id="7"/>
      <w:bookmarkEnd w:id="7"/>
      <w:r w:rsidDel="00000000" w:rsidR="00000000" w:rsidRPr="00000000">
        <w:rPr>
          <w:rFonts w:ascii="Open Sans" w:cs="Open Sans" w:eastAsia="Open Sans" w:hAnsi="Open Sans"/>
          <w:sz w:val="24"/>
          <w:szCs w:val="24"/>
          <w:rtl w:val="0"/>
        </w:rPr>
        <w:t xml:space="preserve">2.5 Solicitudes de información pública (Impunidad Cero)</w:t>
      </w:r>
    </w:p>
    <w:p w:rsidR="00000000" w:rsidDel="00000000" w:rsidP="00000000" w:rsidRDefault="00000000" w:rsidRPr="00000000" w14:paraId="00000033">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Índice de Transformación Digital de las Fiscalías (ITDF) 2024</w:t>
      </w:r>
    </w:p>
    <w:p w:rsidR="00000000" w:rsidDel="00000000" w:rsidP="00000000" w:rsidRDefault="00000000" w:rsidRPr="00000000" w14:paraId="00000034">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Sentencias condenatorias por homicidio doloso (solicitudes a poderes judiciales estatales)</w:t>
      </w:r>
    </w:p>
    <w:p w:rsidR="00000000" w:rsidDel="00000000" w:rsidP="00000000" w:rsidRDefault="00000000" w:rsidRPr="00000000" w14:paraId="00000035">
      <w:pPr>
        <w:pStyle w:val="Heading3"/>
        <w:rPr>
          <w:rFonts w:ascii="Open Sans" w:cs="Open Sans" w:eastAsia="Open Sans" w:hAnsi="Open Sans"/>
          <w:sz w:val="24"/>
          <w:szCs w:val="24"/>
        </w:rPr>
      </w:pPr>
      <w:bookmarkStart w:colFirst="0" w:colLast="0" w:name="_ik0h4v2uvqdb" w:id="8"/>
      <w:bookmarkEnd w:id="8"/>
      <w:r w:rsidDel="00000000" w:rsidR="00000000" w:rsidRPr="00000000">
        <w:rPr>
          <w:rFonts w:ascii="Open Sans" w:cs="Open Sans" w:eastAsia="Open Sans" w:hAnsi="Open Sans"/>
          <w:sz w:val="24"/>
          <w:szCs w:val="24"/>
          <w:rtl w:val="0"/>
        </w:rPr>
        <w:t xml:space="preserve">2.6 Proyecciones de población — CONAPO</w:t>
      </w:r>
    </w:p>
    <w:p w:rsidR="00000000" w:rsidDel="00000000" w:rsidP="00000000" w:rsidRDefault="00000000" w:rsidRPr="00000000" w14:paraId="0000003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Proyecciones de población a mitad de año, utilizadas para calcular tasas por 100 mil habitantes</w:t>
      </w:r>
    </w:p>
    <w:p w:rsidR="00000000" w:rsidDel="00000000" w:rsidP="00000000" w:rsidRDefault="00000000" w:rsidRPr="00000000" w14:paraId="00000037">
      <w:pPr>
        <w:pStyle w:val="Heading2"/>
        <w:rPr>
          <w:rFonts w:ascii="Open Sans" w:cs="Open Sans" w:eastAsia="Open Sans" w:hAnsi="Open Sans"/>
          <w:b w:val="1"/>
          <w:bCs w:val="1"/>
          <w:sz w:val="26"/>
          <w:szCs w:val="26"/>
        </w:rPr>
      </w:pPr>
      <w:bookmarkStart w:colFirst="0" w:colLast="0" w:name="_s2m1fnd3lq0" w:id="9"/>
      <w:bookmarkEnd w:id="9"/>
      <w:r w:rsidDel="00000000" w:rsidR="00000000" w:rsidRPr="00000000">
        <w:rPr>
          <w:rFonts w:ascii="Open Sans" w:cs="Open Sans" w:eastAsia="Open Sans" w:hAnsi="Open Sans"/>
          <w:b w:val="1"/>
          <w:bCs w:val="1"/>
          <w:sz w:val="26"/>
          <w:szCs w:val="26"/>
          <w:rtl w:val="0"/>
        </w:rPr>
        <w:t xml:space="preserve">3. Fichas técnicas de los indicadores</w:t>
      </w:r>
    </w:p>
    <w:p w:rsidR="00000000" w:rsidDel="00000000" w:rsidP="00000000" w:rsidRDefault="00000000" w:rsidRPr="00000000" w14:paraId="00000038">
      <w:pPr>
        <w:pStyle w:val="Heading3"/>
        <w:rPr>
          <w:rFonts w:ascii="Open Sans" w:cs="Open Sans" w:eastAsia="Open Sans" w:hAnsi="Open Sans"/>
          <w:sz w:val="24"/>
          <w:szCs w:val="24"/>
        </w:rPr>
      </w:pPr>
      <w:bookmarkStart w:colFirst="0" w:colLast="0" w:name="_h3hv9gl210v7" w:id="10"/>
      <w:bookmarkEnd w:id="10"/>
      <w:r w:rsidDel="00000000" w:rsidR="00000000" w:rsidRPr="00000000">
        <w:rPr>
          <w:rFonts w:ascii="Open Sans" w:cs="Open Sans" w:eastAsia="Open Sans" w:hAnsi="Open Sans"/>
          <w:sz w:val="24"/>
          <w:szCs w:val="24"/>
          <w:rtl w:val="0"/>
        </w:rPr>
        <w:t xml:space="preserve">3.1 Personal sustantivo por cada 100 mil habitantes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left"/>
              <w:rPr>
                <w:rFonts w:ascii="Open Sans" w:cs="Open Sans" w:eastAsia="Open Sans" w:hAnsi="Open Sans"/>
              </w:rPr>
            </w:pPr>
            <w:r w:rsidDel="00000000" w:rsidR="00000000" w:rsidRPr="00000000">
              <w:rPr>
                <w:rFonts w:ascii="Open Sans" w:cs="Open Sans" w:eastAsia="Open Sans" w:hAnsi="Open Sans"/>
                <w:rtl w:val="0"/>
              </w:rPr>
              <w:t xml:space="preserve">Estructura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jc w:val="left"/>
              <w:rPr>
                <w:rFonts w:ascii="Open Sans" w:cs="Open Sans" w:eastAsia="Open Sans" w:hAnsi="Open Sans"/>
              </w:rPr>
            </w:pPr>
            <w:r w:rsidDel="00000000" w:rsidR="00000000" w:rsidRPr="00000000">
              <w:rPr>
                <w:rFonts w:ascii="Open Sans" w:cs="Open Sans" w:eastAsia="Open Sans" w:hAnsi="Open Sans"/>
                <w:rtl w:val="0"/>
              </w:rPr>
              <w:t xml:space="preserve">Tasa de personal sustantivo de la fiscalía por cada 100 mil habitantes. Incluye fiscales y agentes del MP, policías de investigación y analistas de información criminal.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left"/>
              <w:rPr>
                <w:rFonts w:ascii="Open Sans" w:cs="Open Sans" w:eastAsia="Open Sans" w:hAnsi="Open Sans"/>
              </w:rPr>
            </w:pPr>
            <w:r w:rsidDel="00000000" w:rsidR="00000000" w:rsidRPr="00000000">
              <w:rPr>
                <w:rFonts w:ascii="Open Sans" w:cs="Open Sans" w:eastAsia="Open Sans" w:hAnsi="Open Sans"/>
                <w:rtl w:val="0"/>
              </w:rPr>
              <w:t xml:space="preserve">(Fiscales + Policías de investigación + Analistas) / Población × 100,000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left"/>
              <w:rPr>
                <w:rFonts w:ascii="Open Sans" w:cs="Open Sans" w:eastAsia="Open Sans" w:hAnsi="Open Sans"/>
              </w:rPr>
            </w:pPr>
            <w:r w:rsidDel="00000000" w:rsidR="00000000" w:rsidRPr="00000000">
              <w:rPr>
                <w:rFonts w:ascii="Open Sans" w:cs="Open Sans" w:eastAsia="Open Sans" w:hAnsi="Open Sans"/>
                <w:rtl w:val="0"/>
              </w:rPr>
              <w:t xml:space="preserve">CNPJE (INEGI), módulo Estructura Organizacional y Recursos; CONAPO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left"/>
              <w:rPr>
                <w:rFonts w:ascii="Open Sans" w:cs="Open Sans" w:eastAsia="Open Sans" w:hAnsi="Open Sans"/>
              </w:rPr>
            </w:pPr>
            <w:r w:rsidDel="00000000" w:rsidR="00000000" w:rsidRPr="00000000">
              <w:rPr>
                <w:rFonts w:ascii="Open Sans" w:cs="Open Sans" w:eastAsia="Open Sans" w:hAnsi="Open Sans"/>
                <w:rtl w:val="0"/>
              </w:rPr>
              <w:t xml:space="preserve">2016-2024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Cambio vs. edición anterior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left"/>
              <w:rPr>
                <w:rFonts w:ascii="Open Sans" w:cs="Open Sans" w:eastAsia="Open Sans" w:hAnsi="Open Sans"/>
              </w:rPr>
            </w:pPr>
            <w:r w:rsidDel="00000000" w:rsidR="00000000" w:rsidRPr="00000000">
              <w:rPr>
                <w:rFonts w:ascii="Open Sans" w:cs="Open Sans" w:eastAsia="Open Sans" w:hAnsi="Open Sans"/>
                <w:rtl w:val="0"/>
              </w:rPr>
              <w:t xml:space="preserve">Se amplió para incluir policías de investigación y analistas, además de fiscales y agentes del MP. No incluye peritos por diferencias en su adscripción institucional entre estados.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left"/>
              <w:rPr>
                <w:rFonts w:ascii="Open Sans" w:cs="Open Sans" w:eastAsia="Open Sans" w:hAnsi="Open Sans"/>
              </w:rPr>
            </w:pPr>
            <w:r w:rsidDel="00000000" w:rsidR="00000000" w:rsidRPr="00000000">
              <w:rPr>
                <w:rFonts w:ascii="Open Sans" w:cs="Open Sans" w:eastAsia="Open Sans" w:hAnsi="Open Sans"/>
                <w:rtl w:val="0"/>
              </w:rPr>
              <w:t xml:space="preserve">Mayor valor = mejor desempeño</w:t>
            </w:r>
          </w:p>
        </w:tc>
      </w:tr>
    </w:tbl>
    <w:p w:rsidR="00000000" w:rsidDel="00000000" w:rsidP="00000000" w:rsidRDefault="00000000" w:rsidRPr="00000000" w14:paraId="00000049">
      <w:pPr>
        <w:pStyle w:val="Heading3"/>
        <w:rPr>
          <w:rFonts w:ascii="Open Sans" w:cs="Open Sans" w:eastAsia="Open Sans" w:hAnsi="Open Sans"/>
          <w:sz w:val="24"/>
          <w:szCs w:val="24"/>
        </w:rPr>
      </w:pPr>
      <w:bookmarkStart w:colFirst="0" w:colLast="0" w:name="_mb3lor9hlj7z" w:id="11"/>
      <w:bookmarkEnd w:id="11"/>
      <w:r w:rsidDel="00000000" w:rsidR="00000000" w:rsidRPr="00000000">
        <w:rPr>
          <w:rFonts w:ascii="Open Sans" w:cs="Open Sans" w:eastAsia="Open Sans" w:hAnsi="Open Sans"/>
          <w:sz w:val="24"/>
          <w:szCs w:val="24"/>
          <w:rtl w:val="0"/>
        </w:rPr>
        <w:t xml:space="preserve">3.2 Presupuesto per cápita</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left"/>
              <w:rPr>
                <w:rFonts w:ascii="Open Sans" w:cs="Open Sans" w:eastAsia="Open Sans" w:hAnsi="Open Sans"/>
              </w:rPr>
            </w:pPr>
            <w:r w:rsidDel="00000000" w:rsidR="00000000" w:rsidRPr="00000000">
              <w:rPr>
                <w:rFonts w:ascii="Open Sans" w:cs="Open Sans" w:eastAsia="Open Sans" w:hAnsi="Open Sans"/>
                <w:rtl w:val="0"/>
              </w:rPr>
              <w:t xml:space="preserve">Estructura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left"/>
              <w:rPr>
                <w:rFonts w:ascii="Open Sans" w:cs="Open Sans" w:eastAsia="Open Sans" w:hAnsi="Open Sans"/>
              </w:rPr>
            </w:pPr>
            <w:r w:rsidDel="00000000" w:rsidR="00000000" w:rsidRPr="00000000">
              <w:rPr>
                <w:rFonts w:ascii="Open Sans" w:cs="Open Sans" w:eastAsia="Open Sans" w:hAnsi="Open Sans"/>
                <w:rtl w:val="0"/>
              </w:rPr>
              <w:t xml:space="preserve">Presupuesto real ejercido (devengado) por la fiscalía o procuraduría estatal, por habitante, en pesos constantes de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rFonts w:ascii="Open Sans" w:cs="Open Sans" w:eastAsia="Open Sans" w:hAnsi="Open Sans"/>
              </w:rPr>
            </w:pPr>
            <w:r w:rsidDel="00000000" w:rsidR="00000000" w:rsidRPr="00000000">
              <w:rPr>
                <w:rFonts w:ascii="Open Sans" w:cs="Open Sans" w:eastAsia="Open Sans" w:hAnsi="Open Sans"/>
                <w:rtl w:val="0"/>
              </w:rPr>
              <w:t xml:space="preserve">Presupuesto devengado deflactado / Población estatal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left"/>
              <w:rPr>
                <w:rFonts w:ascii="Open Sans" w:cs="Open Sans" w:eastAsia="Open Sans" w:hAnsi="Open Sans"/>
              </w:rPr>
            </w:pPr>
            <w:r w:rsidDel="00000000" w:rsidR="00000000" w:rsidRPr="00000000">
              <w:rPr>
                <w:rFonts w:ascii="Open Sans" w:cs="Open Sans" w:eastAsia="Open Sans" w:hAnsi="Open Sans"/>
                <w:rtl w:val="0"/>
              </w:rPr>
              <w:t xml:space="preserve">Cuentas públicas estatales, deflactor del PIB (SHCP), CONAPO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jc w:val="left"/>
              <w:rPr>
                <w:rFonts w:ascii="Open Sans" w:cs="Open Sans" w:eastAsia="Open Sans" w:hAnsi="Open Sans"/>
              </w:rPr>
            </w:pPr>
            <w:r w:rsidDel="00000000" w:rsidR="00000000" w:rsidRPr="00000000">
              <w:rPr>
                <w:rFonts w:ascii="Open Sans" w:cs="Open Sans" w:eastAsia="Open Sans" w:hAnsi="Open Sans"/>
                <w:rtl w:val="0"/>
              </w:rPr>
              <w:t xml:space="preserve">2016-2024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Cambio vs. edición anterior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jc w:val="left"/>
              <w:rPr>
                <w:rFonts w:ascii="Open Sans" w:cs="Open Sans" w:eastAsia="Open Sans" w:hAnsi="Open Sans"/>
              </w:rPr>
            </w:pPr>
            <w:r w:rsidDel="00000000" w:rsidR="00000000" w:rsidRPr="00000000">
              <w:rPr>
                <w:rFonts w:ascii="Open Sans" w:cs="Open Sans" w:eastAsia="Open Sans" w:hAnsi="Open Sans"/>
                <w:rtl w:val="0"/>
              </w:rPr>
              <w:t xml:space="preserve">Se actualizó la serie histórica y se estandarizó el deflactor.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left"/>
              <w:rPr>
                <w:rFonts w:ascii="Open Sans" w:cs="Open Sans" w:eastAsia="Open Sans" w:hAnsi="Open Sans"/>
              </w:rPr>
            </w:pPr>
            <w:r w:rsidDel="00000000" w:rsidR="00000000" w:rsidRPr="00000000">
              <w:rPr>
                <w:rFonts w:ascii="Open Sans" w:cs="Open Sans" w:eastAsia="Open Sans" w:hAnsi="Open Sans"/>
                <w:rtl w:val="0"/>
              </w:rPr>
              <w:t xml:space="preserve">Mayor valor = mejor desempeño</w:t>
            </w:r>
          </w:p>
        </w:tc>
      </w:tr>
    </w:tbl>
    <w:p w:rsidR="00000000" w:rsidDel="00000000" w:rsidP="00000000" w:rsidRDefault="00000000" w:rsidRPr="00000000" w14:paraId="0000005A">
      <w:pPr>
        <w:pStyle w:val="Heading3"/>
        <w:rPr>
          <w:rFonts w:ascii="Open Sans" w:cs="Open Sans" w:eastAsia="Open Sans" w:hAnsi="Open Sans"/>
          <w:sz w:val="26"/>
          <w:szCs w:val="26"/>
        </w:rPr>
      </w:pPr>
      <w:bookmarkStart w:colFirst="0" w:colLast="0" w:name="_plcb9es9nsf4" w:id="12"/>
      <w:bookmarkEnd w:id="12"/>
      <w:r w:rsidDel="00000000" w:rsidR="00000000" w:rsidRPr="00000000">
        <w:rPr>
          <w:rFonts w:ascii="Open Sans" w:cs="Open Sans" w:eastAsia="Open Sans" w:hAnsi="Open Sans"/>
          <w:sz w:val="26"/>
          <w:szCs w:val="26"/>
          <w:rtl w:val="0"/>
        </w:rPr>
        <w:t xml:space="preserve">3.3 Transformación digital (ITDF)</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left"/>
              <w:rPr>
                <w:rFonts w:ascii="Open Sans" w:cs="Open Sans" w:eastAsia="Open Sans" w:hAnsi="Open Sans"/>
              </w:rPr>
            </w:pPr>
            <w:r w:rsidDel="00000000" w:rsidR="00000000" w:rsidRPr="00000000">
              <w:rPr>
                <w:rFonts w:ascii="Open Sans" w:cs="Open Sans" w:eastAsia="Open Sans" w:hAnsi="Open Sans"/>
                <w:rtl w:val="0"/>
              </w:rPr>
              <w:t xml:space="preserve">Estructura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left"/>
              <w:rPr>
                <w:rFonts w:ascii="Open Sans" w:cs="Open Sans" w:eastAsia="Open Sans" w:hAnsi="Open Sans"/>
              </w:rPr>
            </w:pPr>
            <w:r w:rsidDel="00000000" w:rsidR="00000000" w:rsidRPr="00000000">
              <w:rPr>
                <w:rFonts w:ascii="Open Sans" w:cs="Open Sans" w:eastAsia="Open Sans" w:hAnsi="Open Sans"/>
                <w:rtl w:val="0"/>
              </w:rPr>
              <w:t xml:space="preserve">Puntaje obtenido en el Índice de Transformación Digital de las Fiscalías, que evalúa cuatro ejes: plataformas de denuncia digital, sistemas de registro de carpetas, análisis delictivo y planes de transformación digital.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left"/>
              <w:rPr>
                <w:rFonts w:ascii="Open Sans" w:cs="Open Sans" w:eastAsia="Open Sans" w:hAnsi="Open Sans"/>
              </w:rPr>
            </w:pPr>
            <w:r w:rsidDel="00000000" w:rsidR="00000000" w:rsidRPr="00000000">
              <w:rPr>
                <w:rFonts w:ascii="Open Sans" w:cs="Open Sans" w:eastAsia="Open Sans" w:hAnsi="Open Sans"/>
                <w:rtl w:val="0"/>
              </w:rPr>
              <w:t xml:space="preserve">Índice compuesto (0-100) basado en respuestas a solicitudes de información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jc w:val="left"/>
              <w:rPr>
                <w:rFonts w:ascii="Open Sans" w:cs="Open Sans" w:eastAsia="Open Sans" w:hAnsi="Open Sans"/>
              </w:rPr>
            </w:pPr>
            <w:r w:rsidDel="00000000" w:rsidR="00000000" w:rsidRPr="00000000">
              <w:rPr>
                <w:rFonts w:ascii="Open Sans" w:cs="Open Sans" w:eastAsia="Open Sans" w:hAnsi="Open Sans"/>
                <w:i w:val="1"/>
                <w:iCs w:val="1"/>
                <w:rtl w:val="0"/>
              </w:rPr>
              <w:t xml:space="preserve">Transformación Digital de las Fiscalías en México 2024</w:t>
            </w:r>
            <w:r w:rsidDel="00000000" w:rsidR="00000000" w:rsidRPr="00000000">
              <w:rPr>
                <w:rFonts w:ascii="Open Sans" w:cs="Open Sans" w:eastAsia="Open Sans" w:hAnsi="Open Sans"/>
                <w:rtl w:val="0"/>
              </w:rPr>
              <w:t xml:space="preserve">, Impunidad Cero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jc w:val="left"/>
              <w:rPr>
                <w:rFonts w:ascii="Open Sans" w:cs="Open Sans" w:eastAsia="Open Sans" w:hAnsi="Open Sans"/>
              </w:rPr>
            </w:pPr>
            <w:r w:rsidDel="00000000" w:rsidR="00000000" w:rsidRPr="00000000">
              <w:rPr>
                <w:rFonts w:ascii="Open Sans" w:cs="Open Sans" w:eastAsia="Open Sans" w:hAnsi="Open Sans"/>
                <w:rtl w:val="0"/>
              </w:rPr>
              <w:t xml:space="preserve">2024 (corte único)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Tratamiento especial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left"/>
              <w:rPr>
                <w:rFonts w:ascii="Open Sans" w:cs="Open Sans" w:eastAsia="Open Sans" w:hAnsi="Open Sans"/>
              </w:rPr>
            </w:pPr>
            <w:r w:rsidDel="00000000" w:rsidR="00000000" w:rsidRPr="00000000">
              <w:rPr>
                <w:rFonts w:ascii="Open Sans" w:cs="Open Sans" w:eastAsia="Open Sans" w:hAnsi="Open Sans"/>
                <w:rtl w:val="0"/>
              </w:rPr>
              <w:t xml:space="preserve">Los estados que no respondieron a las solicitudes de información recibieron un puntaje de 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rFonts w:ascii="Open Sans" w:cs="Open Sans" w:eastAsia="Open Sans" w:hAnsi="Open Sans"/>
              </w:rPr>
            </w:pPr>
            <w:r w:rsidDel="00000000" w:rsidR="00000000" w:rsidRPr="00000000">
              <w:rPr>
                <w:rFonts w:ascii="Open Sans" w:cs="Open Sans" w:eastAsia="Open Sans" w:hAnsi="Open Sans"/>
                <w:rtl w:val="0"/>
              </w:rPr>
              <w:t xml:space="preserve">Mayor valor = mejor desempeño</w:t>
            </w:r>
          </w:p>
        </w:tc>
      </w:tr>
    </w:tbl>
    <w:p w:rsidR="00000000" w:rsidDel="00000000" w:rsidP="00000000" w:rsidRDefault="00000000" w:rsidRPr="00000000" w14:paraId="0000006B">
      <w:pPr>
        <w:pStyle w:val="Heading3"/>
        <w:rPr>
          <w:rFonts w:ascii="Open Sans" w:cs="Open Sans" w:eastAsia="Open Sans" w:hAnsi="Open Sans"/>
          <w:sz w:val="24"/>
          <w:szCs w:val="24"/>
        </w:rPr>
      </w:pPr>
      <w:bookmarkStart w:colFirst="0" w:colLast="0" w:name="_ex5d94mquu49" w:id="13"/>
      <w:bookmarkEnd w:id="13"/>
      <w:r w:rsidDel="00000000" w:rsidR="00000000" w:rsidRPr="00000000">
        <w:rPr>
          <w:rFonts w:ascii="Open Sans" w:cs="Open Sans" w:eastAsia="Open Sans" w:hAnsi="Open Sans"/>
          <w:sz w:val="24"/>
          <w:szCs w:val="24"/>
          <w:rtl w:val="0"/>
        </w:rPr>
        <w:t xml:space="preserve">3.4 Tiempo de espera en el Ministerio Público</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jc w:val="left"/>
              <w:rPr>
                <w:rFonts w:ascii="Open Sans" w:cs="Open Sans" w:eastAsia="Open Sans" w:hAnsi="Open Sans"/>
              </w:rPr>
            </w:pPr>
            <w:r w:rsidDel="00000000" w:rsidR="00000000" w:rsidRPr="00000000">
              <w:rPr>
                <w:rFonts w:ascii="Open Sans" w:cs="Open Sans" w:eastAsia="Open Sans" w:hAnsi="Open Sans"/>
                <w:rtl w:val="0"/>
              </w:rPr>
              <w:t xml:space="preserve">Operación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jc w:val="left"/>
              <w:rPr>
                <w:rFonts w:ascii="Open Sans" w:cs="Open Sans" w:eastAsia="Open Sans" w:hAnsi="Open Sans"/>
              </w:rPr>
            </w:pPr>
            <w:r w:rsidDel="00000000" w:rsidR="00000000" w:rsidRPr="00000000">
              <w:rPr>
                <w:rFonts w:ascii="Open Sans" w:cs="Open Sans" w:eastAsia="Open Sans" w:hAnsi="Open Sans"/>
                <w:rtl w:val="0"/>
              </w:rPr>
              <w:t xml:space="preserve">Porcentaje de personas víctimas de delito que tardaron más de cuatro horas en presentar una denuncia ante el Ministerio Público.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jc w:val="left"/>
              <w:rPr>
                <w:rFonts w:ascii="Open Sans" w:cs="Open Sans" w:eastAsia="Open Sans" w:hAnsi="Open Sans"/>
              </w:rPr>
            </w:pPr>
            <w:r w:rsidDel="00000000" w:rsidR="00000000" w:rsidRPr="00000000">
              <w:rPr>
                <w:rFonts w:ascii="Open Sans" w:cs="Open Sans" w:eastAsia="Open Sans" w:hAnsi="Open Sans"/>
                <w:rtl w:val="0"/>
              </w:rPr>
              <w:t xml:space="preserve">Personas que esperaron &gt;4 hrs / Total de personas que denunciaron ×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jc w:val="left"/>
              <w:rPr>
                <w:rFonts w:ascii="Open Sans" w:cs="Open Sans" w:eastAsia="Open Sans" w:hAnsi="Open Sans"/>
              </w:rPr>
            </w:pPr>
            <w:r w:rsidDel="00000000" w:rsidR="00000000" w:rsidRPr="00000000">
              <w:rPr>
                <w:rFonts w:ascii="Open Sans" w:cs="Open Sans" w:eastAsia="Open Sans" w:hAnsi="Open Sans"/>
                <w:rtl w:val="0"/>
              </w:rPr>
              <w:t xml:space="preserve">ENVIPE (INEGI)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jc w:val="left"/>
              <w:rPr>
                <w:rFonts w:ascii="Open Sans" w:cs="Open Sans" w:eastAsia="Open Sans" w:hAnsi="Open Sans"/>
              </w:rPr>
            </w:pPr>
            <w:r w:rsidDel="00000000" w:rsidR="00000000" w:rsidRPr="00000000">
              <w:rPr>
                <w:rFonts w:ascii="Open Sans" w:cs="Open Sans" w:eastAsia="Open Sans" w:hAnsi="Open Sans"/>
                <w:rtl w:val="0"/>
              </w:rPr>
              <w:t xml:space="preserve">2016-2024 (información del año previo al levantamiento)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jc w:val="left"/>
              <w:rPr>
                <w:rFonts w:ascii="Open Sans" w:cs="Open Sans" w:eastAsia="Open Sans" w:hAnsi="Open Sans"/>
              </w:rPr>
            </w:pPr>
            <w:r w:rsidDel="00000000" w:rsidR="00000000" w:rsidRPr="00000000">
              <w:rPr>
                <w:rFonts w:ascii="Open Sans" w:cs="Open Sans" w:eastAsia="Open Sans" w:hAnsi="Open Sans"/>
                <w:rtl w:val="0"/>
              </w:rPr>
              <w:t xml:space="preserve">Menor valor = mejor desempeño (se invierte para la normalización)</w:t>
            </w:r>
          </w:p>
        </w:tc>
      </w:tr>
    </w:tbl>
    <w:p w:rsidR="00000000" w:rsidDel="00000000" w:rsidP="00000000" w:rsidRDefault="00000000" w:rsidRPr="00000000" w14:paraId="0000007A">
      <w:pPr>
        <w:pStyle w:val="Heading3"/>
        <w:rPr>
          <w:rFonts w:ascii="Open Sans" w:cs="Open Sans" w:eastAsia="Open Sans" w:hAnsi="Open Sans"/>
          <w:sz w:val="24"/>
          <w:szCs w:val="24"/>
        </w:rPr>
      </w:pPr>
      <w:bookmarkStart w:colFirst="0" w:colLast="0" w:name="_v4ym1wc685n4" w:id="14"/>
      <w:bookmarkEnd w:id="14"/>
      <w:r w:rsidDel="00000000" w:rsidR="00000000" w:rsidRPr="00000000">
        <w:rPr>
          <w:rFonts w:ascii="Open Sans" w:cs="Open Sans" w:eastAsia="Open Sans" w:hAnsi="Open Sans"/>
          <w:sz w:val="24"/>
          <w:szCs w:val="24"/>
          <w:rtl w:val="0"/>
        </w:rPr>
        <w:t xml:space="preserve">3.5 Confianza en el Ministerio Público</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jc w:val="left"/>
              <w:rPr>
                <w:rFonts w:ascii="Open Sans" w:cs="Open Sans" w:eastAsia="Open Sans" w:hAnsi="Open Sans"/>
              </w:rPr>
            </w:pPr>
            <w:r w:rsidDel="00000000" w:rsidR="00000000" w:rsidRPr="00000000">
              <w:rPr>
                <w:rFonts w:ascii="Open Sans" w:cs="Open Sans" w:eastAsia="Open Sans" w:hAnsi="Open Sans"/>
                <w:rtl w:val="0"/>
              </w:rPr>
              <w:t xml:space="preserve">Resultado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jc w:val="left"/>
              <w:rPr>
                <w:rFonts w:ascii="Open Sans" w:cs="Open Sans" w:eastAsia="Open Sans" w:hAnsi="Open Sans"/>
              </w:rPr>
            </w:pPr>
            <w:r w:rsidDel="00000000" w:rsidR="00000000" w:rsidRPr="00000000">
              <w:rPr>
                <w:rFonts w:ascii="Open Sans" w:cs="Open Sans" w:eastAsia="Open Sans" w:hAnsi="Open Sans"/>
                <w:rtl w:val="0"/>
              </w:rPr>
              <w:t xml:space="preserve">Porcentaje de personas que declararon tener "mucha confianza" en el Ministerio Público o fiscalía estatal.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jc w:val="left"/>
              <w:rPr>
                <w:rFonts w:ascii="Open Sans" w:cs="Open Sans" w:eastAsia="Open Sans" w:hAnsi="Open Sans"/>
              </w:rPr>
            </w:pPr>
            <w:r w:rsidDel="00000000" w:rsidR="00000000" w:rsidRPr="00000000">
              <w:rPr>
                <w:rFonts w:ascii="Open Sans" w:cs="Open Sans" w:eastAsia="Open Sans" w:hAnsi="Open Sans"/>
                <w:rtl w:val="0"/>
              </w:rPr>
              <w:t xml:space="preserve">Personas con "mucha confianza" en el MP / Total de personas encuestadas ×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jc w:val="left"/>
              <w:rPr>
                <w:rFonts w:ascii="Open Sans" w:cs="Open Sans" w:eastAsia="Open Sans" w:hAnsi="Open Sans"/>
              </w:rPr>
            </w:pPr>
            <w:r w:rsidDel="00000000" w:rsidR="00000000" w:rsidRPr="00000000">
              <w:rPr>
                <w:rFonts w:ascii="Open Sans" w:cs="Open Sans" w:eastAsia="Open Sans" w:hAnsi="Open Sans"/>
                <w:rtl w:val="0"/>
              </w:rPr>
              <w:t xml:space="preserve">ENVIPE (INEGI)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left"/>
              <w:rPr>
                <w:rFonts w:ascii="Open Sans" w:cs="Open Sans" w:eastAsia="Open Sans" w:hAnsi="Open Sans"/>
              </w:rPr>
            </w:pPr>
            <w:r w:rsidDel="00000000" w:rsidR="00000000" w:rsidRPr="00000000">
              <w:rPr>
                <w:rFonts w:ascii="Open Sans" w:cs="Open Sans" w:eastAsia="Open Sans" w:hAnsi="Open Sans"/>
                <w:rtl w:val="0"/>
              </w:rPr>
              <w:t xml:space="preserve">2016-2025 (refleja el año del levantamiento, no el anterior)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jc w:val="left"/>
              <w:rPr>
                <w:rFonts w:ascii="Open Sans" w:cs="Open Sans" w:eastAsia="Open Sans" w:hAnsi="Open Sans"/>
              </w:rPr>
            </w:pPr>
            <w:r w:rsidDel="00000000" w:rsidR="00000000" w:rsidRPr="00000000">
              <w:rPr>
                <w:rFonts w:ascii="Open Sans" w:cs="Open Sans" w:eastAsia="Open Sans" w:hAnsi="Open Sans"/>
                <w:rtl w:val="0"/>
              </w:rPr>
              <w:t xml:space="preserve">Mayor valor = mejor desempeño</w:t>
            </w:r>
          </w:p>
        </w:tc>
      </w:tr>
    </w:tbl>
    <w:p w:rsidR="00000000" w:rsidDel="00000000" w:rsidP="00000000" w:rsidRDefault="00000000" w:rsidRPr="00000000" w14:paraId="00000089">
      <w:pPr>
        <w:pStyle w:val="Heading3"/>
        <w:rPr>
          <w:rFonts w:ascii="Open Sans" w:cs="Open Sans" w:eastAsia="Open Sans" w:hAnsi="Open Sans"/>
          <w:sz w:val="24"/>
          <w:szCs w:val="24"/>
        </w:rPr>
      </w:pPr>
      <w:bookmarkStart w:colFirst="0" w:colLast="0" w:name="_krytj7n988wj" w:id="15"/>
      <w:bookmarkEnd w:id="15"/>
      <w:r w:rsidDel="00000000" w:rsidR="00000000" w:rsidRPr="00000000">
        <w:rPr>
          <w:rFonts w:ascii="Open Sans" w:cs="Open Sans" w:eastAsia="Open Sans" w:hAnsi="Open Sans"/>
          <w:sz w:val="24"/>
          <w:szCs w:val="24"/>
          <w:rtl w:val="0"/>
        </w:rPr>
        <w:t xml:space="preserve">3.6 Efectividad en la resolución de los casos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jc w:val="left"/>
              <w:rPr>
                <w:rFonts w:ascii="Open Sans" w:cs="Open Sans" w:eastAsia="Open Sans" w:hAnsi="Open Sans"/>
              </w:rPr>
            </w:pPr>
            <w:r w:rsidDel="00000000" w:rsidR="00000000" w:rsidRPr="00000000">
              <w:rPr>
                <w:rFonts w:ascii="Open Sans" w:cs="Open Sans" w:eastAsia="Open Sans" w:hAnsi="Open Sans"/>
                <w:rtl w:val="0"/>
              </w:rPr>
              <w:t xml:space="preserve">Resultado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jc w:val="left"/>
              <w:rPr>
                <w:rFonts w:ascii="Open Sans" w:cs="Open Sans" w:eastAsia="Open Sans" w:hAnsi="Open Sans"/>
              </w:rPr>
            </w:pPr>
            <w:r w:rsidDel="00000000" w:rsidR="00000000" w:rsidRPr="00000000">
              <w:rPr>
                <w:rFonts w:ascii="Open Sans" w:cs="Open Sans" w:eastAsia="Open Sans" w:hAnsi="Open Sans"/>
                <w:rtl w:val="0"/>
              </w:rPr>
              <w:t xml:space="preserve">Proporción de carpetas de investigación y averiguaciones previas que reciben una resolución sustantiva (cierre del caso o judicialización), conforme a los supuestos del CNPP.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left"/>
              <w:rPr>
                <w:rFonts w:ascii="Open Sans" w:cs="Open Sans" w:eastAsia="Open Sans" w:hAnsi="Open Sans"/>
              </w:rPr>
            </w:pPr>
            <w:r w:rsidDel="00000000" w:rsidR="00000000" w:rsidRPr="00000000">
              <w:rPr>
                <w:rFonts w:ascii="Open Sans" w:cs="Open Sans" w:eastAsia="Open Sans" w:hAnsi="Open Sans"/>
                <w:rtl w:val="0"/>
              </w:rPr>
              <w:t xml:space="preserve">Salidas efectivas / (Investigaciones iniciadas + Rezago de años anteriores) ×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Salidas efectivas incluyen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jc w:val="left"/>
              <w:rPr>
                <w:rFonts w:ascii="Open Sans" w:cs="Open Sans" w:eastAsia="Open Sans" w:hAnsi="Open Sans"/>
              </w:rPr>
            </w:pPr>
            <w:r w:rsidDel="00000000" w:rsidR="00000000" w:rsidRPr="00000000">
              <w:rPr>
                <w:rFonts w:ascii="Open Sans" w:cs="Open Sans" w:eastAsia="Open Sans" w:hAnsi="Open Sans"/>
                <w:rtl w:val="0"/>
              </w:rPr>
              <w:t xml:space="preserve">Facultad de abstenerse de investigar, criterios de oportunidad, acuerdos reparatorios cumplidos, no ejercicio de la acción penal, incompetencia, acumulación, sobreseimiento, formulación de la acusación, suspensión condicional del proceso, procedimientos abreviados y suspensión del proceso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left"/>
              <w:rPr>
                <w:rFonts w:ascii="Open Sans" w:cs="Open Sans" w:eastAsia="Open Sans" w:hAnsi="Open Sans"/>
              </w:rPr>
            </w:pPr>
            <w:r w:rsidDel="00000000" w:rsidR="00000000" w:rsidRPr="00000000">
              <w:rPr>
                <w:rFonts w:ascii="Open Sans" w:cs="Open Sans" w:eastAsia="Open Sans" w:hAnsi="Open Sans"/>
                <w:rtl w:val="0"/>
              </w:rPr>
              <w:t xml:space="preserve">CNPJE (INEGI), módulo Procuración de Justicia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jc w:val="left"/>
              <w:rPr>
                <w:rFonts w:ascii="Open Sans" w:cs="Open Sans" w:eastAsia="Open Sans" w:hAnsi="Open Sans"/>
              </w:rPr>
            </w:pPr>
            <w:r w:rsidDel="00000000" w:rsidR="00000000" w:rsidRPr="00000000">
              <w:rPr>
                <w:rFonts w:ascii="Open Sans" w:cs="Open Sans" w:eastAsia="Open Sans" w:hAnsi="Open Sans"/>
                <w:rtl w:val="0"/>
              </w:rPr>
              <w:t xml:space="preserve">2020-2024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Cambio vs. edición anterior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left"/>
              <w:rPr>
                <w:rFonts w:ascii="Open Sans" w:cs="Open Sans" w:eastAsia="Open Sans" w:hAnsi="Open Sans"/>
              </w:rPr>
            </w:pPr>
            <w:r w:rsidDel="00000000" w:rsidR="00000000" w:rsidRPr="00000000">
              <w:rPr>
                <w:rFonts w:ascii="Open Sans" w:cs="Open Sans" w:eastAsia="Open Sans" w:hAnsi="Open Sans"/>
                <w:rtl w:val="0"/>
              </w:rPr>
              <w:t xml:space="preserve">Se migró del Modelo de Evaluación y Seguimiento (MES) de la SEGOB al CNPJE del INEGI. Los resultados no son directamente comparables con ediciones previas.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jc w:val="left"/>
              <w:rPr>
                <w:rFonts w:ascii="Open Sans" w:cs="Open Sans" w:eastAsia="Open Sans" w:hAnsi="Open Sans"/>
              </w:rPr>
            </w:pPr>
            <w:r w:rsidDel="00000000" w:rsidR="00000000" w:rsidRPr="00000000">
              <w:rPr>
                <w:rFonts w:ascii="Open Sans" w:cs="Open Sans" w:eastAsia="Open Sans" w:hAnsi="Open Sans"/>
                <w:rtl w:val="0"/>
              </w:rPr>
              <w:t xml:space="preserve">Mayor valor = mejor desempeño</w:t>
            </w:r>
          </w:p>
        </w:tc>
      </w:tr>
    </w:tbl>
    <w:p w:rsidR="00000000" w:rsidDel="00000000" w:rsidP="00000000" w:rsidRDefault="00000000" w:rsidRPr="00000000" w14:paraId="0000009C">
      <w:pPr>
        <w:pStyle w:val="Heading3"/>
        <w:rPr>
          <w:rFonts w:ascii="Open Sans" w:cs="Open Sans" w:eastAsia="Open Sans" w:hAnsi="Open Sans"/>
        </w:rPr>
      </w:pPr>
      <w:bookmarkStart w:colFirst="0" w:colLast="0" w:name="_5l07xjczv1do" w:id="16"/>
      <w:bookmarkEnd w:id="16"/>
      <w:r w:rsidDel="00000000" w:rsidR="00000000" w:rsidRPr="00000000">
        <w:rPr>
          <w:rtl w:val="0"/>
        </w:rPr>
      </w:r>
    </w:p>
    <w:p w:rsidR="00000000" w:rsidDel="00000000" w:rsidP="00000000" w:rsidRDefault="00000000" w:rsidRPr="00000000" w14:paraId="0000009D">
      <w:pPr>
        <w:pStyle w:val="Heading3"/>
        <w:rPr>
          <w:rFonts w:ascii="Open Sans" w:cs="Open Sans" w:eastAsia="Open Sans" w:hAnsi="Open Sans"/>
          <w:sz w:val="24"/>
          <w:szCs w:val="24"/>
        </w:rPr>
      </w:pPr>
      <w:bookmarkStart w:colFirst="0" w:colLast="0" w:name="_cdji89bk1ig1" w:id="17"/>
      <w:bookmarkEnd w:id="17"/>
      <w:r w:rsidDel="00000000" w:rsidR="00000000" w:rsidRPr="00000000">
        <w:rPr>
          <w:rFonts w:ascii="Open Sans" w:cs="Open Sans" w:eastAsia="Open Sans" w:hAnsi="Open Sans"/>
          <w:sz w:val="24"/>
          <w:szCs w:val="24"/>
          <w:rtl w:val="0"/>
        </w:rPr>
        <w:t xml:space="preserve">3.7 Porcentaje de delitos denunciados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left"/>
              <w:rPr>
                <w:rFonts w:ascii="Open Sans" w:cs="Open Sans" w:eastAsia="Open Sans" w:hAnsi="Open Sans"/>
              </w:rPr>
            </w:pPr>
            <w:r w:rsidDel="00000000" w:rsidR="00000000" w:rsidRPr="00000000">
              <w:rPr>
                <w:rFonts w:ascii="Open Sans" w:cs="Open Sans" w:eastAsia="Open Sans" w:hAnsi="Open Sans"/>
                <w:rtl w:val="0"/>
              </w:rPr>
              <w:t xml:space="preserve">Resultado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jc w:val="left"/>
              <w:rPr>
                <w:rFonts w:ascii="Open Sans" w:cs="Open Sans" w:eastAsia="Open Sans" w:hAnsi="Open Sans"/>
              </w:rPr>
            </w:pPr>
            <w:r w:rsidDel="00000000" w:rsidR="00000000" w:rsidRPr="00000000">
              <w:rPr>
                <w:rFonts w:ascii="Open Sans" w:cs="Open Sans" w:eastAsia="Open Sans" w:hAnsi="Open Sans"/>
                <w:rtl w:val="0"/>
              </w:rPr>
              <w:t xml:space="preserve">Proporción de delitos que la ciudadanía reportó ante las autoridades respecto del total estimado de delitos ocurridos.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jc w:val="left"/>
              <w:rPr>
                <w:rFonts w:ascii="Open Sans" w:cs="Open Sans" w:eastAsia="Open Sans" w:hAnsi="Open Sans"/>
              </w:rPr>
            </w:pPr>
            <w:r w:rsidDel="00000000" w:rsidR="00000000" w:rsidRPr="00000000">
              <w:rPr>
                <w:rFonts w:ascii="Open Sans" w:cs="Open Sans" w:eastAsia="Open Sans" w:hAnsi="Open Sans"/>
                <w:rtl w:val="0"/>
              </w:rPr>
              <w:t xml:space="preserve">Delitos denunciados / Total estimado de delitos ×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jc w:val="left"/>
              <w:rPr>
                <w:rFonts w:ascii="Open Sans" w:cs="Open Sans" w:eastAsia="Open Sans" w:hAnsi="Open Sans"/>
              </w:rPr>
            </w:pPr>
            <w:r w:rsidDel="00000000" w:rsidR="00000000" w:rsidRPr="00000000">
              <w:rPr>
                <w:rFonts w:ascii="Open Sans" w:cs="Open Sans" w:eastAsia="Open Sans" w:hAnsi="Open Sans"/>
                <w:rtl w:val="0"/>
              </w:rPr>
              <w:t xml:space="preserve">ENVIPE (INEGI)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jc w:val="left"/>
              <w:rPr>
                <w:rFonts w:ascii="Open Sans" w:cs="Open Sans" w:eastAsia="Open Sans" w:hAnsi="Open Sans"/>
              </w:rPr>
            </w:pPr>
            <w:r w:rsidDel="00000000" w:rsidR="00000000" w:rsidRPr="00000000">
              <w:rPr>
                <w:rFonts w:ascii="Open Sans" w:cs="Open Sans" w:eastAsia="Open Sans" w:hAnsi="Open Sans"/>
                <w:rtl w:val="0"/>
              </w:rPr>
              <w:t xml:space="preserve">2016-2024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Cambio vs. edición anterior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jc w:val="left"/>
              <w:rPr>
                <w:rFonts w:ascii="Open Sans" w:cs="Open Sans" w:eastAsia="Open Sans" w:hAnsi="Open Sans"/>
              </w:rPr>
            </w:pPr>
            <w:r w:rsidDel="00000000" w:rsidR="00000000" w:rsidRPr="00000000">
              <w:rPr>
                <w:rFonts w:ascii="Open Sans" w:cs="Open Sans" w:eastAsia="Open Sans" w:hAnsi="Open Sans"/>
                <w:rtl w:val="0"/>
              </w:rPr>
              <w:t xml:space="preserve">Sustituye al indicador de cumplimiento de órdenes de aprehensión, que presentaba inconsistencias en el CNPJE.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jc w:val="left"/>
              <w:rPr>
                <w:rFonts w:ascii="Open Sans" w:cs="Open Sans" w:eastAsia="Open Sans" w:hAnsi="Open Sans"/>
              </w:rPr>
            </w:pPr>
            <w:r w:rsidDel="00000000" w:rsidR="00000000" w:rsidRPr="00000000">
              <w:rPr>
                <w:rFonts w:ascii="Open Sans" w:cs="Open Sans" w:eastAsia="Open Sans" w:hAnsi="Open Sans"/>
                <w:rtl w:val="0"/>
              </w:rPr>
              <w:t xml:space="preserve">Mayor valor = mejor desempeño</w:t>
            </w:r>
          </w:p>
        </w:tc>
      </w:tr>
    </w:tbl>
    <w:p w:rsidR="00000000" w:rsidDel="00000000" w:rsidP="00000000" w:rsidRDefault="00000000" w:rsidRPr="00000000" w14:paraId="000000AE">
      <w:pPr>
        <w:pStyle w:val="Heading3"/>
        <w:rPr>
          <w:rFonts w:ascii="Open Sans" w:cs="Open Sans" w:eastAsia="Open Sans" w:hAnsi="Open Sans"/>
          <w:sz w:val="24"/>
          <w:szCs w:val="24"/>
        </w:rPr>
      </w:pPr>
      <w:bookmarkStart w:colFirst="0" w:colLast="0" w:name="_2x9lkuhmjk6q" w:id="18"/>
      <w:bookmarkEnd w:id="18"/>
      <w:r w:rsidDel="00000000" w:rsidR="00000000" w:rsidRPr="00000000">
        <w:rPr>
          <w:rFonts w:ascii="Open Sans" w:cs="Open Sans" w:eastAsia="Open Sans" w:hAnsi="Open Sans"/>
          <w:sz w:val="24"/>
          <w:szCs w:val="24"/>
          <w:rtl w:val="0"/>
        </w:rPr>
        <w:t xml:space="preserve">3.8 Impunidad acumulada en homicidio doloso</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Campo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Detalle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Dimensión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jc w:val="left"/>
              <w:rPr>
                <w:rFonts w:ascii="Open Sans" w:cs="Open Sans" w:eastAsia="Open Sans" w:hAnsi="Open Sans"/>
              </w:rPr>
            </w:pPr>
            <w:r w:rsidDel="00000000" w:rsidR="00000000" w:rsidRPr="00000000">
              <w:rPr>
                <w:rFonts w:ascii="Open Sans" w:cs="Open Sans" w:eastAsia="Open Sans" w:hAnsi="Open Sans"/>
                <w:rtl w:val="0"/>
              </w:rPr>
              <w:t xml:space="preserve">Resultado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Definición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jc w:val="left"/>
              <w:rPr>
                <w:rFonts w:ascii="Open Sans" w:cs="Open Sans" w:eastAsia="Open Sans" w:hAnsi="Open Sans"/>
              </w:rPr>
            </w:pPr>
            <w:r w:rsidDel="00000000" w:rsidR="00000000" w:rsidRPr="00000000">
              <w:rPr>
                <w:rFonts w:ascii="Open Sans" w:cs="Open Sans" w:eastAsia="Open Sans" w:hAnsi="Open Sans"/>
                <w:rtl w:val="0"/>
              </w:rPr>
              <w:t xml:space="preserve">Porcentaje de víctimas de homicidio doloso que no obtuvieron una sentencia condenatoria, en un periodo acumulado de seis años (2016-2021).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Fórmula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jc w:val="left"/>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(1 − (Σ Sentencias condenatorias 2016-2021 / Σ Víctimas 2016-2021)) ×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jc w:val="left"/>
              <w:rPr>
                <w:rFonts w:ascii="Open Sans" w:cs="Open Sans" w:eastAsia="Open Sans" w:hAnsi="Open Sans"/>
              </w:rPr>
            </w:pPr>
            <w:r w:rsidDel="00000000" w:rsidR="00000000" w:rsidRPr="00000000">
              <w:rPr>
                <w:rFonts w:ascii="Open Sans" w:cs="Open Sans" w:eastAsia="Open Sans" w:hAnsi="Open Sans"/>
                <w:rtl w:val="0"/>
              </w:rPr>
              <w:t xml:space="preserve">Víctimas: SESNSP. Sentencias: solicitudes de información a poderes judiciales estatales (Impunidad Cero)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Periodo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jc w:val="left"/>
              <w:rPr>
                <w:rFonts w:ascii="Open Sans" w:cs="Open Sans" w:eastAsia="Open Sans" w:hAnsi="Open Sans"/>
              </w:rPr>
            </w:pPr>
            <w:r w:rsidDel="00000000" w:rsidR="00000000" w:rsidRPr="00000000">
              <w:rPr>
                <w:rFonts w:ascii="Open Sans" w:cs="Open Sans" w:eastAsia="Open Sans" w:hAnsi="Open Sans"/>
                <w:rtl w:val="0"/>
              </w:rPr>
              <w:t xml:space="preserve">2016-2021 (acumulado)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Tratamiento especial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jc w:val="left"/>
              <w:rPr>
                <w:rFonts w:ascii="Open Sans" w:cs="Open Sans" w:eastAsia="Open Sans" w:hAnsi="Open Sans"/>
              </w:rPr>
            </w:pPr>
            <w:r w:rsidDel="00000000" w:rsidR="00000000" w:rsidRPr="00000000">
              <w:rPr>
                <w:rFonts w:ascii="Open Sans" w:cs="Open Sans" w:eastAsia="Open Sans" w:hAnsi="Open Sans"/>
                <w:rtl w:val="0"/>
              </w:rPr>
              <w:t xml:space="preserve">Campeche, Guanajuato y Jalisco fueron imputados con el promedio nacional (92.8%) por ausencia de datos.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Dirección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jc w:val="left"/>
              <w:rPr>
                <w:rFonts w:ascii="Open Sans" w:cs="Open Sans" w:eastAsia="Open Sans" w:hAnsi="Open Sans"/>
              </w:rPr>
            </w:pPr>
            <w:r w:rsidDel="00000000" w:rsidR="00000000" w:rsidRPr="00000000">
              <w:rPr>
                <w:rFonts w:ascii="Open Sans" w:cs="Open Sans" w:eastAsia="Open Sans" w:hAnsi="Open Sans"/>
                <w:rtl w:val="0"/>
              </w:rPr>
              <w:t xml:space="preserve">Menor valor = mejor desempeño (se invierte para la normalización)</w:t>
            </w:r>
          </w:p>
        </w:tc>
      </w:tr>
    </w:tbl>
    <w:p w:rsidR="00000000" w:rsidDel="00000000" w:rsidP="00000000" w:rsidRDefault="00000000" w:rsidRPr="00000000" w14:paraId="000000BF">
      <w:pPr>
        <w:rPr>
          <w:rFonts w:ascii="Open Sans" w:cs="Open Sans" w:eastAsia="Open Sans" w:hAnsi="Open Sans"/>
        </w:rPr>
      </w:pPr>
      <w:r w:rsidDel="00000000" w:rsidR="00000000" w:rsidRPr="00000000">
        <w:rPr>
          <w:rtl w:val="0"/>
        </w:rPr>
      </w:r>
    </w:p>
    <w:p w:rsidR="00000000" w:rsidDel="00000000" w:rsidP="00000000" w:rsidRDefault="00000000" w:rsidRPr="00000000" w14:paraId="000000C0">
      <w:pPr>
        <w:pStyle w:val="Heading2"/>
        <w:rPr>
          <w:rFonts w:ascii="Open Sans" w:cs="Open Sans" w:eastAsia="Open Sans" w:hAnsi="Open Sans"/>
          <w:b w:val="1"/>
          <w:bCs w:val="1"/>
          <w:sz w:val="26"/>
          <w:szCs w:val="26"/>
        </w:rPr>
      </w:pPr>
      <w:bookmarkStart w:colFirst="0" w:colLast="0" w:name="_fo68qgczpwel" w:id="19"/>
      <w:bookmarkEnd w:id="19"/>
      <w:r w:rsidDel="00000000" w:rsidR="00000000" w:rsidRPr="00000000">
        <w:rPr>
          <w:rFonts w:ascii="Open Sans" w:cs="Open Sans" w:eastAsia="Open Sans" w:hAnsi="Open Sans"/>
          <w:b w:val="1"/>
          <w:bCs w:val="1"/>
          <w:sz w:val="26"/>
          <w:szCs w:val="26"/>
          <w:rtl w:val="0"/>
        </w:rPr>
        <w:t xml:space="preserve">4. Tratamiento de datos faltantes</w:t>
      </w:r>
    </w:p>
    <w:p w:rsidR="00000000" w:rsidDel="00000000" w:rsidP="00000000" w:rsidRDefault="00000000" w:rsidRPr="00000000" w14:paraId="000000C1">
      <w:pPr>
        <w:rPr>
          <w:rFonts w:ascii="Open Sans" w:cs="Open Sans" w:eastAsia="Open Sans" w:hAnsi="Open Sans"/>
        </w:rPr>
      </w:pPr>
      <w:r w:rsidDel="00000000" w:rsidR="00000000" w:rsidRPr="00000000">
        <w:rPr>
          <w:rFonts w:ascii="Open Sans" w:cs="Open Sans" w:eastAsia="Open Sans" w:hAnsi="Open Sans"/>
          <w:rtl w:val="0"/>
        </w:rPr>
        <w:t xml:space="preserve">El IEDF adoptó las siguientes reglas para el tratamiento de información faltante: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Situación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Regla aplicada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Justificación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jc w:val="left"/>
              <w:rPr>
                <w:rFonts w:ascii="Open Sans" w:cs="Open Sans" w:eastAsia="Open Sans" w:hAnsi="Open Sans"/>
              </w:rPr>
            </w:pPr>
            <w:r w:rsidDel="00000000" w:rsidR="00000000" w:rsidRPr="00000000">
              <w:rPr>
                <w:rFonts w:ascii="Open Sans" w:cs="Open Sans" w:eastAsia="Open Sans" w:hAnsi="Open Sans"/>
                <w:rtl w:val="0"/>
              </w:rPr>
              <w:t xml:space="preserve">Estado no reportó datos en el último año disponible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jc w:val="left"/>
              <w:rPr>
                <w:rFonts w:ascii="Open Sans" w:cs="Open Sans" w:eastAsia="Open Sans" w:hAnsi="Open Sans"/>
              </w:rPr>
            </w:pPr>
            <w:r w:rsidDel="00000000" w:rsidR="00000000" w:rsidRPr="00000000">
              <w:rPr>
                <w:rFonts w:ascii="Open Sans" w:cs="Open Sans" w:eastAsia="Open Sans" w:hAnsi="Open Sans"/>
                <w:rtl w:val="0"/>
              </w:rPr>
              <w:t xml:space="preserve">Se utiliza el último valor disponible en la serie histórica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jc w:val="left"/>
              <w:rPr>
                <w:rFonts w:ascii="Open Sans" w:cs="Open Sans" w:eastAsia="Open Sans" w:hAnsi="Open Sans"/>
              </w:rPr>
            </w:pPr>
            <w:r w:rsidDel="00000000" w:rsidR="00000000" w:rsidRPr="00000000">
              <w:rPr>
                <w:rFonts w:ascii="Open Sans" w:cs="Open Sans" w:eastAsia="Open Sans" w:hAnsi="Open Sans"/>
                <w:rtl w:val="0"/>
              </w:rPr>
              <w:t xml:space="preserve">Las capacidades estructurales de las fiscalías son relativamente estables en el corto plazo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jc w:val="left"/>
              <w:rPr>
                <w:rFonts w:ascii="Open Sans" w:cs="Open Sans" w:eastAsia="Open Sans" w:hAnsi="Open Sans"/>
              </w:rPr>
            </w:pPr>
            <w:r w:rsidDel="00000000" w:rsidR="00000000" w:rsidRPr="00000000">
              <w:rPr>
                <w:rFonts w:ascii="Open Sans" w:cs="Open Sans" w:eastAsia="Open Sans" w:hAnsi="Open Sans"/>
                <w:rtl w:val="0"/>
              </w:rPr>
              <w:t xml:space="preserve">Estado nunca ha reportado datos para un indicador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jc w:val="left"/>
              <w:rPr>
                <w:rFonts w:ascii="Open Sans" w:cs="Open Sans" w:eastAsia="Open Sans" w:hAnsi="Open Sans"/>
              </w:rPr>
            </w:pPr>
            <w:r w:rsidDel="00000000" w:rsidR="00000000" w:rsidRPr="00000000">
              <w:rPr>
                <w:rFonts w:ascii="Open Sans" w:cs="Open Sans" w:eastAsia="Open Sans" w:hAnsi="Open Sans"/>
                <w:rtl w:val="0"/>
              </w:rPr>
              <w:t xml:space="preserve">Se imputa el promedio 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jc w:val="left"/>
              <w:rPr>
                <w:rFonts w:ascii="Open Sans" w:cs="Open Sans" w:eastAsia="Open Sans" w:hAnsi="Open Sans"/>
              </w:rPr>
            </w:pPr>
            <w:r w:rsidDel="00000000" w:rsidR="00000000" w:rsidRPr="00000000">
              <w:rPr>
                <w:rFonts w:ascii="Open Sans" w:cs="Open Sans" w:eastAsia="Open Sans" w:hAnsi="Open Sans"/>
                <w:rtl w:val="0"/>
              </w:rPr>
              <w:t xml:space="preserve">Permite incluir al estado en el análisis sin excluirlo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jc w:val="left"/>
              <w:rPr>
                <w:rFonts w:ascii="Open Sans" w:cs="Open Sans" w:eastAsia="Open Sans" w:hAnsi="Open Sans"/>
              </w:rPr>
            </w:pPr>
            <w:r w:rsidDel="00000000" w:rsidR="00000000" w:rsidRPr="00000000">
              <w:rPr>
                <w:rFonts w:ascii="Open Sans" w:cs="Open Sans" w:eastAsia="Open Sans" w:hAnsi="Open Sans"/>
                <w:rtl w:val="0"/>
              </w:rPr>
              <w:t xml:space="preserve">Estado no respondió a solicitudes de información (ej. ITDF)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jc w:val="left"/>
              <w:rPr>
                <w:rFonts w:ascii="Open Sans" w:cs="Open Sans" w:eastAsia="Open Sans" w:hAnsi="Open Sans"/>
              </w:rPr>
            </w:pPr>
            <w:r w:rsidDel="00000000" w:rsidR="00000000" w:rsidRPr="00000000">
              <w:rPr>
                <w:rFonts w:ascii="Open Sans" w:cs="Open Sans" w:eastAsia="Open Sans" w:hAnsi="Open Sans"/>
                <w:rtl w:val="0"/>
              </w:rPr>
              <w:t xml:space="preserve">Se asigna calificación de </w:t>
            </w:r>
            <w:r w:rsidDel="00000000" w:rsidR="00000000" w:rsidRPr="00000000">
              <w:rPr>
                <w:rFonts w:ascii="Open Sans" w:cs="Open Sans" w:eastAsia="Open Sans" w:hAnsi="Open Sans"/>
                <w:b w:val="1"/>
                <w:bCs w:val="1"/>
                <w:rtl w:val="0"/>
              </w:rPr>
              <w:t xml:space="preserve">cero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jc w:val="left"/>
              <w:rPr>
                <w:rFonts w:ascii="Open Sans" w:cs="Open Sans" w:eastAsia="Open Sans" w:hAnsi="Open Sans"/>
              </w:rPr>
            </w:pPr>
            <w:r w:rsidDel="00000000" w:rsidR="00000000" w:rsidRPr="00000000">
              <w:rPr>
                <w:rFonts w:ascii="Open Sans" w:cs="Open Sans" w:eastAsia="Open Sans" w:hAnsi="Open Sans"/>
                <w:rtl w:val="0"/>
              </w:rPr>
              <w:t xml:space="preserve">La falta de transparencia es en sí misma un indicador de debilidad institucional</w:t>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0">
      <w:pPr>
        <w:rPr>
          <w:rFonts w:ascii="Open Sans" w:cs="Open Sans" w:eastAsia="Open Sans" w:hAnsi="Open Sans"/>
        </w:rPr>
      </w:pPr>
      <w:r w:rsidDel="00000000" w:rsidR="00000000" w:rsidRPr="00000000">
        <w:rPr>
          <w:rFonts w:ascii="Open Sans" w:cs="Open Sans" w:eastAsia="Open Sans" w:hAnsi="Open Sans"/>
          <w:b w:val="1"/>
          <w:bCs w:val="1"/>
          <w:rtl w:val="0"/>
        </w:rPr>
        <w:t xml:space="preserve">Casos específicos de imputación:</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2">
      <w:pPr>
        <w:numPr>
          <w:ilvl w:val="0"/>
          <w:numId w:val="1"/>
        </w:numPr>
        <w:ind w:left="720" w:hanging="360"/>
      </w:pPr>
      <w:r w:rsidDel="00000000" w:rsidR="00000000" w:rsidRPr="00000000">
        <w:rPr>
          <w:rFonts w:ascii="Open Sans" w:cs="Open Sans" w:eastAsia="Open Sans" w:hAnsi="Open Sans"/>
          <w:b w:val="1"/>
          <w:bCs w:val="1"/>
          <w:rtl w:val="0"/>
        </w:rPr>
        <w:t xml:space="preserve">Ciudad de México:</w:t>
      </w:r>
      <w:r w:rsidDel="00000000" w:rsidR="00000000" w:rsidRPr="00000000">
        <w:rPr>
          <w:rFonts w:ascii="Open Sans" w:cs="Open Sans" w:eastAsia="Open Sans" w:hAnsi="Open Sans"/>
          <w:rtl w:val="0"/>
        </w:rPr>
        <w:t xml:space="preserve"> utiliza datos de 2023 para indicadores de personal sustantivo (no reportó en CNPJE 2025). Para la efectividad, solo reportó datos de justicia para adolescentes.</w:t>
      </w:r>
    </w:p>
    <w:p w:rsidR="00000000" w:rsidDel="00000000" w:rsidP="00000000" w:rsidRDefault="00000000" w:rsidRPr="00000000" w14:paraId="000000D3">
      <w:pPr>
        <w:numPr>
          <w:ilvl w:val="0"/>
          <w:numId w:val="1"/>
        </w:numPr>
        <w:ind w:left="720" w:hanging="360"/>
      </w:pPr>
      <w:r w:rsidDel="00000000" w:rsidR="00000000" w:rsidRPr="00000000">
        <w:rPr>
          <w:rFonts w:ascii="Open Sans" w:cs="Open Sans" w:eastAsia="Open Sans" w:hAnsi="Open Sans"/>
          <w:b w:val="1"/>
          <w:bCs w:val="1"/>
          <w:rtl w:val="0"/>
        </w:rPr>
        <w:t xml:space="preserve">San Luis Potosí:</w:t>
      </w:r>
      <w:r w:rsidDel="00000000" w:rsidR="00000000" w:rsidRPr="00000000">
        <w:rPr>
          <w:rFonts w:ascii="Open Sans" w:cs="Open Sans" w:eastAsia="Open Sans" w:hAnsi="Open Sans"/>
          <w:rtl w:val="0"/>
        </w:rPr>
        <w:t xml:space="preserve"> el último dato disponible de personal corresponde a 2020.</w:t>
      </w:r>
    </w:p>
    <w:p w:rsidR="00000000" w:rsidDel="00000000" w:rsidP="00000000" w:rsidRDefault="00000000" w:rsidRPr="00000000" w14:paraId="000000D4">
      <w:pPr>
        <w:numPr>
          <w:ilvl w:val="0"/>
          <w:numId w:val="1"/>
        </w:numPr>
        <w:ind w:left="720" w:hanging="360"/>
      </w:pPr>
      <w:r w:rsidDel="00000000" w:rsidR="00000000" w:rsidRPr="00000000">
        <w:rPr>
          <w:rFonts w:ascii="Open Sans" w:cs="Open Sans" w:eastAsia="Open Sans" w:hAnsi="Open Sans"/>
          <w:b w:val="1"/>
          <w:bCs w:val="1"/>
          <w:rtl w:val="0"/>
        </w:rPr>
        <w:t xml:space="preserve">Guanajuato:</w:t>
      </w:r>
      <w:r w:rsidDel="00000000" w:rsidR="00000000" w:rsidRPr="00000000">
        <w:rPr>
          <w:rFonts w:ascii="Open Sans" w:cs="Open Sans" w:eastAsia="Open Sans" w:hAnsi="Open Sans"/>
          <w:rtl w:val="0"/>
        </w:rPr>
        <w:t xml:space="preserve"> no reportó información sobre policías de investigación en el último CNPJE.</w:t>
      </w:r>
    </w:p>
    <w:p w:rsidR="00000000" w:rsidDel="00000000" w:rsidP="00000000" w:rsidRDefault="00000000" w:rsidRPr="00000000" w14:paraId="000000D5">
      <w:pPr>
        <w:numPr>
          <w:ilvl w:val="0"/>
          <w:numId w:val="1"/>
        </w:numPr>
        <w:ind w:left="720" w:hanging="360"/>
      </w:pPr>
      <w:r w:rsidDel="00000000" w:rsidR="00000000" w:rsidRPr="00000000">
        <w:rPr>
          <w:rFonts w:ascii="Open Sans" w:cs="Open Sans" w:eastAsia="Open Sans" w:hAnsi="Open Sans"/>
          <w:b w:val="1"/>
          <w:bCs w:val="1"/>
          <w:rtl w:val="0"/>
        </w:rPr>
        <w:t xml:space="preserve">Campeche, Guanajuato, Jalisco:</w:t>
      </w:r>
      <w:r w:rsidDel="00000000" w:rsidR="00000000" w:rsidRPr="00000000">
        <w:rPr>
          <w:rFonts w:ascii="Open Sans" w:cs="Open Sans" w:eastAsia="Open Sans" w:hAnsi="Open Sans"/>
          <w:rtl w:val="0"/>
        </w:rPr>
        <w:t xml:space="preserve"> Impunidad acumulada imputada con promedio nacional (92.8%) por ausencia de datos de sentencias.</w:t>
      </w:r>
    </w:p>
    <w:p w:rsidR="00000000" w:rsidDel="00000000" w:rsidP="00000000" w:rsidRDefault="00000000" w:rsidRPr="00000000" w14:paraId="000000D6">
      <w:pPr>
        <w:numPr>
          <w:ilvl w:val="0"/>
          <w:numId w:val="1"/>
        </w:numPr>
        <w:ind w:left="720" w:hanging="360"/>
      </w:pPr>
      <w:r w:rsidDel="00000000" w:rsidR="00000000" w:rsidRPr="00000000">
        <w:rPr>
          <w:rFonts w:ascii="Open Sans" w:cs="Open Sans" w:eastAsia="Open Sans" w:hAnsi="Open Sans"/>
          <w:b w:val="1"/>
          <w:bCs w:val="1"/>
          <w:rtl w:val="0"/>
        </w:rPr>
        <w:t xml:space="preserve">Coahuila y Nayarit:</w:t>
      </w:r>
      <w:r w:rsidDel="00000000" w:rsidR="00000000" w:rsidRPr="00000000">
        <w:rPr>
          <w:rFonts w:ascii="Open Sans" w:cs="Open Sans" w:eastAsia="Open Sans" w:hAnsi="Open Sans"/>
          <w:rtl w:val="0"/>
        </w:rPr>
        <w:t xml:space="preserve"> calificación de 0 en ITDF por no responder a solicitudes de información.</w:t>
      </w:r>
    </w:p>
    <w:p w:rsidR="00000000" w:rsidDel="00000000" w:rsidP="00000000" w:rsidRDefault="00000000" w:rsidRPr="00000000" w14:paraId="000000D7">
      <w:pPr>
        <w:rPr>
          <w:rFonts w:ascii="Open Sans" w:cs="Open Sans" w:eastAsia="Open Sans" w:hAnsi="Open Sans"/>
        </w:rPr>
      </w:pPr>
      <w:r w:rsidDel="00000000" w:rsidR="00000000" w:rsidRPr="00000000">
        <w:rPr>
          <w:rtl w:val="0"/>
        </w:rPr>
      </w:r>
    </w:p>
    <w:p w:rsidR="00000000" w:rsidDel="00000000" w:rsidP="00000000" w:rsidRDefault="00000000" w:rsidRPr="00000000" w14:paraId="000000D8">
      <w:pPr>
        <w:pStyle w:val="Heading2"/>
        <w:rPr>
          <w:rFonts w:ascii="Open Sans" w:cs="Open Sans" w:eastAsia="Open Sans" w:hAnsi="Open Sans"/>
          <w:b w:val="1"/>
          <w:bCs w:val="1"/>
          <w:sz w:val="26"/>
          <w:szCs w:val="26"/>
        </w:rPr>
      </w:pPr>
      <w:bookmarkStart w:colFirst="0" w:colLast="0" w:name="_s13qr7u1uyau" w:id="20"/>
      <w:bookmarkEnd w:id="20"/>
      <w:r w:rsidDel="00000000" w:rsidR="00000000" w:rsidRPr="00000000">
        <w:rPr>
          <w:rFonts w:ascii="Open Sans" w:cs="Open Sans" w:eastAsia="Open Sans" w:hAnsi="Open Sans"/>
          <w:b w:val="1"/>
          <w:bCs w:val="1"/>
          <w:sz w:val="26"/>
          <w:szCs w:val="26"/>
          <w:rtl w:val="0"/>
        </w:rPr>
        <w:t xml:space="preserve">5. Ajustes metodológicos respecto a ediciones anteriores</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Ajuste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IEDF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IEDF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Personal sustantivo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jc w:val="left"/>
              <w:rPr>
                <w:rFonts w:ascii="Open Sans" w:cs="Open Sans" w:eastAsia="Open Sans" w:hAnsi="Open Sans"/>
              </w:rPr>
            </w:pPr>
            <w:r w:rsidDel="00000000" w:rsidR="00000000" w:rsidRPr="00000000">
              <w:rPr>
                <w:rFonts w:ascii="Open Sans" w:cs="Open Sans" w:eastAsia="Open Sans" w:hAnsi="Open Sans"/>
                <w:rtl w:val="0"/>
              </w:rPr>
              <w:t xml:space="preserve">Solo fiscales y agentes del 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jc w:val="left"/>
              <w:rPr>
                <w:rFonts w:ascii="Open Sans" w:cs="Open Sans" w:eastAsia="Open Sans" w:hAnsi="Open Sans"/>
              </w:rPr>
            </w:pPr>
            <w:r w:rsidDel="00000000" w:rsidR="00000000" w:rsidRPr="00000000">
              <w:rPr>
                <w:rFonts w:ascii="Open Sans" w:cs="Open Sans" w:eastAsia="Open Sans" w:hAnsi="Open Sans"/>
                <w:rtl w:val="0"/>
              </w:rPr>
              <w:t xml:space="preserve">Incluye policías de investigación y analistas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Fuente de efectividad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jc w:val="left"/>
              <w:rPr>
                <w:rFonts w:ascii="Open Sans" w:cs="Open Sans" w:eastAsia="Open Sans" w:hAnsi="Open Sans"/>
              </w:rPr>
            </w:pPr>
            <w:r w:rsidDel="00000000" w:rsidR="00000000" w:rsidRPr="00000000">
              <w:rPr>
                <w:rFonts w:ascii="Open Sans" w:cs="Open Sans" w:eastAsia="Open Sans" w:hAnsi="Open Sans"/>
                <w:rtl w:val="0"/>
              </w:rPr>
              <w:t xml:space="preserve">Modelo de Evaluación y Seguimiento (MES) de SEGOB</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jc w:val="left"/>
              <w:rPr>
                <w:rFonts w:ascii="Open Sans" w:cs="Open Sans" w:eastAsia="Open Sans" w:hAnsi="Open Sans"/>
              </w:rPr>
            </w:pPr>
            <w:r w:rsidDel="00000000" w:rsidR="00000000" w:rsidRPr="00000000">
              <w:rPr>
                <w:rFonts w:ascii="Open Sans" w:cs="Open Sans" w:eastAsia="Open Sans" w:hAnsi="Open Sans"/>
                <w:rtl w:val="0"/>
              </w:rPr>
              <w:t xml:space="preserve">CNPJE del INEGI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Indicador de resultado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jc w:val="left"/>
              <w:rPr>
                <w:rFonts w:ascii="Open Sans" w:cs="Open Sans" w:eastAsia="Open Sans" w:hAnsi="Open Sans"/>
              </w:rPr>
            </w:pPr>
            <w:r w:rsidDel="00000000" w:rsidR="00000000" w:rsidRPr="00000000">
              <w:rPr>
                <w:rFonts w:ascii="Open Sans" w:cs="Open Sans" w:eastAsia="Open Sans" w:hAnsi="Open Sans"/>
                <w:rtl w:val="0"/>
              </w:rPr>
              <w:t xml:space="preserve">% cumplimiento de órdenes de aprehensión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jc w:val="left"/>
              <w:rPr>
                <w:rFonts w:ascii="Open Sans" w:cs="Open Sans" w:eastAsia="Open Sans" w:hAnsi="Open Sans"/>
              </w:rPr>
            </w:pPr>
            <w:r w:rsidDel="00000000" w:rsidR="00000000" w:rsidRPr="00000000">
              <w:rPr>
                <w:rFonts w:ascii="Open Sans" w:cs="Open Sans" w:eastAsia="Open Sans" w:hAnsi="Open Sans"/>
                <w:rtl w:val="0"/>
              </w:rPr>
              <w:t xml:space="preserve">% de delitos denunciados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Indicador de impunidad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jc w:val="left"/>
              <w:rPr>
                <w:rFonts w:ascii="Open Sans" w:cs="Open Sans" w:eastAsia="Open Sans" w:hAnsi="Open Sans"/>
              </w:rPr>
            </w:pPr>
            <w:r w:rsidDel="00000000" w:rsidR="00000000" w:rsidRPr="00000000">
              <w:rPr>
                <w:rFonts w:ascii="Open Sans" w:cs="Open Sans" w:eastAsia="Open Sans" w:hAnsi="Open Sans"/>
                <w:rtl w:val="0"/>
              </w:rPr>
              <w:t xml:space="preserve">Impunidad directa (1 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jc w:val="left"/>
              <w:rPr>
                <w:rFonts w:ascii="Open Sans" w:cs="Open Sans" w:eastAsia="Open Sans" w:hAnsi="Open Sans"/>
              </w:rPr>
            </w:pPr>
            <w:r w:rsidDel="00000000" w:rsidR="00000000" w:rsidRPr="00000000">
              <w:rPr>
                <w:rFonts w:ascii="Open Sans" w:cs="Open Sans" w:eastAsia="Open Sans" w:hAnsi="Open Sans"/>
                <w:rtl w:val="0"/>
              </w:rPr>
              <w:t xml:space="preserve">Impunidad acumulada (6 años, 2016-2021)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Transformación digital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jc w:val="left"/>
              <w:rPr>
                <w:rFonts w:ascii="Open Sans" w:cs="Open Sans" w:eastAsia="Open Sans" w:hAnsi="Open Sans"/>
              </w:rPr>
            </w:pPr>
            <w:r w:rsidDel="00000000" w:rsidR="00000000" w:rsidRPr="00000000">
              <w:rPr>
                <w:rFonts w:ascii="Open Sans" w:cs="Open Sans" w:eastAsia="Open Sans" w:hAnsi="Open Sans"/>
                <w:rtl w:val="0"/>
              </w:rPr>
              <w:t xml:space="preserve">No incluido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jc w:val="left"/>
              <w:rPr>
                <w:rFonts w:ascii="Open Sans" w:cs="Open Sans" w:eastAsia="Open Sans" w:hAnsi="Open Sans"/>
              </w:rPr>
            </w:pPr>
            <w:r w:rsidDel="00000000" w:rsidR="00000000" w:rsidRPr="00000000">
              <w:rPr>
                <w:rFonts w:ascii="Open Sans" w:cs="Open Sans" w:eastAsia="Open Sans" w:hAnsi="Open Sans"/>
                <w:rtl w:val="0"/>
              </w:rPr>
              <w:t xml:space="preserve">Incorporado (ITDF)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jc w:val="left"/>
              <w:rPr>
                <w:rFonts w:ascii="Open Sans" w:cs="Open Sans" w:eastAsia="Open Sans" w:hAnsi="Open Sans"/>
              </w:rPr>
            </w:pPr>
            <w:r w:rsidDel="00000000" w:rsidR="00000000" w:rsidRPr="00000000">
              <w:rPr>
                <w:rFonts w:ascii="Open Sans" w:cs="Open Sans" w:eastAsia="Open Sans" w:hAnsi="Open Sans"/>
                <w:b w:val="1"/>
                <w:bCs w:val="1"/>
                <w:rtl w:val="0"/>
              </w:rPr>
              <w:t xml:space="preserve">Carga de trabajo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jc w:val="left"/>
              <w:rPr>
                <w:rFonts w:ascii="Open Sans" w:cs="Open Sans" w:eastAsia="Open Sans" w:hAnsi="Open Sans"/>
              </w:rPr>
            </w:pPr>
            <w:r w:rsidDel="00000000" w:rsidR="00000000" w:rsidRPr="00000000">
              <w:rPr>
                <w:rFonts w:ascii="Open Sans" w:cs="Open Sans" w:eastAsia="Open Sans" w:hAnsi="Open Sans"/>
                <w:rtl w:val="0"/>
              </w:rPr>
              <w:t xml:space="preserve">Incluido en el índice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jc w:val="left"/>
              <w:rPr>
                <w:rFonts w:ascii="Open Sans" w:cs="Open Sans" w:eastAsia="Open Sans" w:hAnsi="Open Sans"/>
              </w:rPr>
            </w:pPr>
            <w:r w:rsidDel="00000000" w:rsidR="00000000" w:rsidRPr="00000000">
              <w:rPr>
                <w:rFonts w:ascii="Open Sans" w:cs="Open Sans" w:eastAsia="Open Sans" w:hAnsi="Open Sans"/>
                <w:rtl w:val="0"/>
              </w:rPr>
              <w:t xml:space="preserve">Excluido del índice (solo descriptivo) por correlación con personal</w:t>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EF">
      <w:pPr>
        <w:rPr>
          <w:rFonts w:ascii="Open Sans" w:cs="Open Sans" w:eastAsia="Open Sans" w:hAnsi="Open Sans"/>
        </w:rPr>
      </w:pPr>
      <w:r w:rsidDel="00000000" w:rsidR="00000000" w:rsidRPr="00000000">
        <w:rPr>
          <w:rFonts w:ascii="Open Sans" w:cs="Open Sans" w:eastAsia="Open Sans" w:hAnsi="Open Sans"/>
          <w:b w:val="1"/>
          <w:bCs w:val="1"/>
          <w:rtl w:val="0"/>
        </w:rPr>
        <w:t xml:space="preserve">Nota metodológica:</w:t>
      </w:r>
      <w:r w:rsidDel="00000000" w:rsidR="00000000" w:rsidRPr="00000000">
        <w:rPr>
          <w:rFonts w:ascii="Open Sans" w:cs="Open Sans" w:eastAsia="Open Sans" w:hAnsi="Open Sans"/>
          <w:rtl w:val="0"/>
        </w:rPr>
        <w:t xml:space="preserve"> Estos ajustes implican que los resultados del IEDF 2026 </w:t>
      </w:r>
      <w:r w:rsidDel="00000000" w:rsidR="00000000" w:rsidRPr="00000000">
        <w:rPr>
          <w:rFonts w:ascii="Open Sans" w:cs="Open Sans" w:eastAsia="Open Sans" w:hAnsi="Open Sans"/>
          <w:b w:val="1"/>
          <w:bCs w:val="1"/>
          <w:rtl w:val="0"/>
        </w:rPr>
        <w:t xml:space="preserve">no son estrictamente comparables</w:t>
      </w:r>
      <w:r w:rsidDel="00000000" w:rsidR="00000000" w:rsidRPr="00000000">
        <w:rPr>
          <w:rFonts w:ascii="Open Sans" w:cs="Open Sans" w:eastAsia="Open Sans" w:hAnsi="Open Sans"/>
          <w:rtl w:val="0"/>
        </w:rPr>
        <w:t xml:space="preserve"> con los de ediciones anteriores. Sin embargo, se mantiene la lógica general y la estructura conceptual del índice.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F1">
      <w:pPr>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F2">
      <w:pPr>
        <w:rPr>
          <w:rFonts w:ascii="Open Sans" w:cs="Open Sans" w:eastAsia="Open Sans" w:hAnsi="Open Sans"/>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266700</wp:posOffset>
          </wp:positionV>
          <wp:extent cx="1706695" cy="461963"/>
          <wp:effectExtent b="0" l="0" r="0" t="0"/>
          <wp:wrapNone/>
          <wp:docPr id="1" name="image1.png"/>
          <a:graphic>
            <a:graphicData uri="http://schemas.openxmlformats.org/drawingml/2006/picture">
              <pic:pic>
                <pic:nvPicPr>
                  <pic:cNvPr id="0" name="image1.png"/>
                  <pic:cNvPicPr preferRelativeResize="0"/>
                </pic:nvPicPr>
                <pic:blipFill>
                  <a:blip r:embed="rId1"/>
                  <a:srcRect b="26844" l="0" r="0" t="25074"/>
                  <a:stretch>
                    <a:fillRect/>
                  </a:stretch>
                </pic:blipFill>
                <pic:spPr>
                  <a:xfrm>
                    <a:off x="0" y="0"/>
                    <a:ext cx="1706695" cy="461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